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MFA Implementation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record documents where multi-factor authentication (MFA) is enforced across Tri-River Regional 911 Center systems, the method in use, and any exceptions, as evidence that the Password &amp; Authentication Policy MFA requirement is met. It captures the as-built state, not the requirement.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CJIS Handling: where a listed system reaches CJIS-regulated data via IDACS, apply CJIS Security Policy v5.9 §5.6 (advanced authentication) in addition to the controls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MFA Standard and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standard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Single sign-on with phishing-resistant MFA (FIDO2)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 (FIDO2 hardware key)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 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MFA Enforcement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Enforced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Account Scope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All-staff sign-on (SSO / identity platform)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FIDO2 / 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CAD and call-handling (both centers)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FIDO2 / 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FIDO2 / 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administrative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 and cloud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FIDO2 hardware 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NG911 element management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FIDO2 hardware 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Exceptions and Compensating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Reason MFA not enforced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Compensating 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Review 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is enforced on all in-scope systems this cycle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n/a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MFA coverage is validated against the Password &amp; Authentication Policy at least quarterly by the IT Team; new systems are checked at go-live and exceptions are reviewed on the date shown.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systems. One person records, for each, whether MFA is on and how (app or code), and notes any system that cannot take it yet with a reason.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IA-2, IA-2(1), IA-2(2),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§5.6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MFA Implementation Record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