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MFA Implementation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record documents where multi-factor authentication (MFA) is enforced across Wabash Valley Communications systems, the method in use, and any exceptions, as evidence that the Password &amp; Authentication Policy MFA requirement is met. It captures the as-built state, not the requirement.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CJIS Handling: where a listed system reaches CJIS-regulated data via IDACS, apply CJIS Security Policy v5.9 §5.6 (advanced authentication) in addition to the controls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MFA Standard and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standard method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 (Microsoft 365)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 / admin accounts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 (hardware token)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 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required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MFA Enforcement by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MFA Enforced (Y/N)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Account Scope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County email (Microsoft 365)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Cloud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 / VPN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Remote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CAD console (both sites)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Authenticator app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 / management portals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Hardware token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Legacy logging appliance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On-prem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Does not support MFA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Privileged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Exceptions and Compensating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Reason MFA not enforced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Compensating control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Review 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Legacy logging appliance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Appliance firmware does not support MFA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Management restricted to an isolated admin VLAN; local console access only; scheduled for replacement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2026-09-01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MFA coverage is validated against the Password &amp; Authentication Policy at least quarterly by the Shared County IT; new systems are checked at go-live and exceptions are reviewed on the date shown.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Few systems. One person records, for each, whether MFA is on and how (app or code), and notes any system that cannot take it yet with a reason.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IA-2, IA-2(1), IA-2(2),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§5.6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MFA Implementation Record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