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Remote Access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w:t>
            </w:r>
            <w:r>
              <w:rPr>
                <w:rFonts w:ascii="Aptos" w:cs="Aptos" w:eastAsia="Aptos" w:hAnsi="Aptos"/>
                <w:sz w:val="24"/>
                <w:szCs w:val="24"/>
              </w:rPr>
              <w:t xml:space="preserve">Tri-River Regional 911 Center</w:t>
            </w:r>
            <w:r>
              <w:rPr>
                <w:rFonts w:ascii="Aptos" w:cs="Aptos" w:eastAsia="Aptos" w:hAnsi="Aptos"/>
                <w:sz w:val="24"/>
                <w:szCs w:val="24"/>
              </w:rPr>
              <w:t xml:space="preserve"> under the authority of the </w:t>
            </w:r>
            <w:r>
              <w:rPr>
                <w:rFonts w:ascii="Aptos" w:cs="Aptos" w:eastAsia="Aptos" w:hAnsi="Aptos"/>
                <w:sz w:val="24"/>
                <w:szCs w:val="24"/>
              </w:rPr>
              <w:t xml:space="preserve">Governing Board Chair</w:t>
            </w:r>
            <w:r>
              <w:rPr>
                <w:rFonts w:ascii="Aptos" w:cs="Aptos" w:eastAsia="Aptos" w:hAnsi="Aptos"/>
                <w:sz w:val="24"/>
                <w:szCs w:val="24"/>
              </w:rPr>
              <w:t xml:space="preserve">.</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2026-01-20    </w:t>
            </w:r>
            <w:r>
              <w:rPr>
                <w:rFonts w:ascii="Aptos" w:cs="Aptos" w:eastAsia="Aptos" w:hAnsi="Aptos"/>
                <w:b/>
                <w:bCs/>
                <w:sz w:val="24"/>
                <w:szCs w:val="24"/>
              </w:rPr>
              <w:t xml:space="preserve">Next Review: </w:t>
            </w:r>
            <w:r>
              <w:rPr>
                <w:rFonts w:ascii="Aptos" w:cs="Aptos" w:eastAsia="Aptos" w:hAnsi="Aptos"/>
                <w:sz w:val="24"/>
                <w:szCs w:val="24"/>
              </w:rPr>
              <w:t xml:space="preserve">2027-01-20</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Information Security Analyst</w:t>
            </w:r>
          </w:p>
          <w:p>
            <w:pPr>
              <w:spacing w:after="0"/>
            </w:pPr>
            <w:r>
              <w:rPr>
                <w:rFonts w:ascii="Aptos" w:cs="Aptos" w:eastAsia="Aptos" w:hAnsi="Aptos"/>
                <w:b/>
                <w:bCs/>
                <w:sz w:val="24"/>
                <w:szCs w:val="24"/>
              </w:rPr>
              <w:t xml:space="preserve">Classification: </w:t>
            </w:r>
            <w:r>
              <w:rPr>
                <w:rFonts w:ascii="Aptos" w:cs="Aptos" w:eastAsia="Aptos" w:hAnsi="Aptos"/>
                <w:sz w:val="24"/>
                <w:szCs w:val="24"/>
              </w:rPr>
              <w:t xml:space="preserve">Internal / CJIS</w:t>
            </w:r>
          </w:p>
        </w:tc>
      </w:tr>
    </w:tbl>
    <w:p>
      <w:pPr>
        <w:pStyle w:val="Heading2"/>
      </w:pPr>
      <w:r>
        <w:t xml:space="preserve">1. Purpose</w:t>
      </w:r>
    </w:p>
    <w:p>
      <w:pPr>
        <w:spacing w:after="120"/>
      </w:pPr>
      <w:r>
        <w:rPr>
          <w:rFonts w:ascii="Aptos" w:cs="Aptos" w:eastAsia="Aptos" w:hAnsi="Aptos"/>
          <w:sz w:val="24"/>
          <w:szCs w:val="24"/>
        </w:rPr>
        <w:t xml:space="preserve">This policy governs remote access to Tri-River Regional 911 Center systems: connections that originate outside the Agency’s physical network, whether by staff, contractors, or vendors. It sets the methods, conditions, and monitoring required so that remote access does not weaken the protection of 9-1-1 call handling, dispatch, and the data behind them.</w:t>
      </w:r>
    </w:p>
    <w:p>
      <w:pPr>
        <w:pStyle w:val="Heading2"/>
      </w:pPr>
      <w:r>
        <w:t xml:space="preserve">2. Scope</w:t>
      </w:r>
    </w:p>
    <w:p>
      <w:pPr>
        <w:spacing w:after="60"/>
      </w:pPr>
      <w:r>
        <w:rPr>
          <w:rFonts w:ascii="Aptos" w:cs="Aptos" w:eastAsia="Aptos" w:hAnsi="Aptos"/>
          <w:b/>
          <w:bCs/>
          <w:sz w:val="24"/>
          <w:szCs w:val="24"/>
        </w:rPr>
        <w:t xml:space="preserve">Applies to: </w:t>
      </w:r>
      <w:r>
        <w:rPr>
          <w:rFonts w:ascii="Aptos" w:cs="Aptos" w:eastAsia="Aptos" w:hAnsi="Aptos"/>
          <w:sz w:val="24"/>
          <w:szCs w:val="24"/>
        </w:rPr>
        <w:t xml:space="preserve">all Tri-River Regional 911 Center personnel, contractors, and vendor accounts that connect to Agency systems from outside the Agency network.</w:t>
      </w:r>
    </w:p>
    <w:p>
      <w:pPr>
        <w:spacing w:after="60"/>
      </w:pPr>
      <w:r>
        <w:rPr>
          <w:rFonts w:ascii="Aptos" w:cs="Aptos" w:eastAsia="Aptos" w:hAnsi="Aptos"/>
          <w:b/>
          <w:bCs/>
          <w:sz w:val="24"/>
          <w:szCs w:val="24"/>
        </w:rPr>
        <w:t xml:space="preserve">Covers: </w:t>
      </w:r>
      <w:r>
        <w:rPr>
          <w:rFonts w:ascii="Aptos" w:cs="Aptos" w:eastAsia="Aptos" w:hAnsi="Aptos"/>
          <w:sz w:val="24"/>
          <w:szCs w:val="24"/>
        </w:rPr>
        <w:t xml:space="preserve">every remote-access method (VPN, virtual desktop, secure shell, vendor support session) and every device used to connect, whether Agency-owned, approved personal, or vendor-managed.</w:t>
      </w:r>
    </w:p>
    <w:p>
      <w:pPr>
        <w:spacing w:after="120"/>
      </w:pPr>
      <w:r>
        <w:rPr>
          <w:rFonts w:ascii="Aptos" w:cs="Aptos" w:eastAsia="Aptos" w:hAnsi="Aptos"/>
          <w:b/>
          <w:bCs/>
          <w:sz w:val="24"/>
          <w:szCs w:val="24"/>
        </w:rPr>
        <w:t xml:space="preserve">Excludes: </w:t>
      </w:r>
      <w:r>
        <w:rPr>
          <w:rFonts w:ascii="Aptos" w:cs="Aptos" w:eastAsia="Aptos" w:hAnsi="Aptos"/>
          <w:sz w:val="24"/>
          <w:szCs w:val="24"/>
        </w:rPr>
        <w:t xml:space="preserve">on-site access from within the Agency network, which is governed by the Access Control Policy.</w:t>
      </w:r>
    </w:p>
    <w:p>
      <w:pPr>
        <w:pStyle w:val="Heading2"/>
      </w:pPr>
      <w:r>
        <w:t xml:space="preserve">3. Definitions</w:t>
      </w:r>
    </w:p>
    <w:p>
      <w:pPr>
        <w:spacing w:after="120"/>
      </w:pPr>
      <w:r>
        <w:rPr>
          <w:rFonts w:ascii="Aptos" w:cs="Aptos" w:eastAsia="Aptos" w:hAnsi="Aptos"/>
          <w:b/>
          <w:bCs/>
          <w:sz w:val="24"/>
          <w:szCs w:val="24"/>
        </w:rPr>
        <w:t xml:space="preserve">Approved remote-access method: </w:t>
      </w:r>
      <w:r>
        <w:rPr>
          <w:rFonts w:ascii="Aptos" w:cs="Aptos" w:eastAsia="Aptos" w:hAnsi="Aptos"/>
          <w:sz w:val="24"/>
          <w:szCs w:val="24"/>
        </w:rPr>
        <w:t xml:space="preserve">a connection method the Agency has authorized in writing, such as VPN, virtual desktop, or secure shell, configured to the Agency’s hardening standard.</w:t>
      </w:r>
    </w:p>
    <w:p>
      <w:pPr>
        <w:spacing w:after="120"/>
      </w:pPr>
      <w:r>
        <w:rPr>
          <w:rFonts w:ascii="Aptos" w:cs="Aptos" w:eastAsia="Aptos" w:hAnsi="Aptos"/>
          <w:b/>
          <w:bCs/>
          <w:sz w:val="24"/>
          <w:szCs w:val="24"/>
        </w:rPr>
        <w:t xml:space="preserve">Remote session: </w:t>
      </w:r>
      <w:r>
        <w:rPr>
          <w:rFonts w:ascii="Aptos" w:cs="Aptos" w:eastAsia="Aptos" w:hAnsi="Aptos"/>
          <w:sz w:val="24"/>
          <w:szCs w:val="24"/>
        </w:rPr>
        <w:t xml:space="preserve">an active connection from outside the Agency network to an Agency system, for the duration of that connection.</w:t>
      </w:r>
    </w:p>
    <w:p>
      <w:pPr>
        <w:pStyle w:val="Heading2"/>
      </w:pPr>
      <w:r>
        <w:t xml:space="preserve">4. Policy Statement</w:t>
      </w:r>
    </w:p>
    <w:p>
      <w:pPr>
        <w:pStyle w:val="ListParagraph"/>
        <w:numPr>
          <w:ilvl w:val="0"/>
          <w:numId w:val="300"/>
        </w:numPr>
        <w:spacing w:after="60"/>
      </w:pPr>
      <w:r>
        <w:rPr>
          <w:rFonts w:ascii="Aptos" w:cs="Aptos" w:eastAsia="Aptos" w:hAnsi="Aptos"/>
          <w:sz w:val="24"/>
          <w:szCs w:val="24"/>
        </w:rPr>
        <w:t xml:space="preserve">Remote access is granted only to named, authorized accounts, on the principle of least privilege, and only through approved remote-access methods.</w:t>
      </w:r>
    </w:p>
    <w:p>
      <w:pPr>
        <w:pStyle w:val="ListParagraph"/>
        <w:numPr>
          <w:ilvl w:val="0"/>
          <w:numId w:val="300"/>
        </w:numPr>
        <w:spacing w:after="60"/>
      </w:pPr>
      <w:r>
        <w:rPr>
          <w:rFonts w:ascii="Aptos" w:cs="Aptos" w:eastAsia="Aptos" w:hAnsi="Aptos"/>
          <w:sz w:val="24"/>
          <w:szCs w:val="24"/>
        </w:rPr>
        <w:t xml:space="preserve">Multifactor authentication is required for every remote session, for both privileged and non-privileged accounts.</w:t>
      </w:r>
    </w:p>
    <w:p>
      <w:pPr>
        <w:pStyle w:val="ListParagraph"/>
        <w:numPr>
          <w:ilvl w:val="0"/>
          <w:numId w:val="300"/>
        </w:numPr>
        <w:spacing w:after="60"/>
      </w:pPr>
      <w:r>
        <w:rPr>
          <w:rFonts w:ascii="Aptos" w:cs="Aptos" w:eastAsia="Aptos" w:hAnsi="Aptos"/>
          <w:sz w:val="24"/>
          <w:szCs w:val="24"/>
        </w:rPr>
        <w:t xml:space="preserve">Remote connections use only Agency-approved methods (VPN, virtual desktop, secure shell). Administrative interfaces are not exposed directly to the public internet.</w:t>
      </w:r>
    </w:p>
    <w:p>
      <w:pPr>
        <w:pStyle w:val="ListParagraph"/>
        <w:numPr>
          <w:ilvl w:val="0"/>
          <w:numId w:val="300"/>
        </w:numPr>
        <w:spacing w:after="60"/>
      </w:pPr>
      <w:r>
        <w:rPr>
          <w:rFonts w:ascii="Aptos" w:cs="Aptos" w:eastAsia="Aptos" w:hAnsi="Aptos"/>
          <w:sz w:val="24"/>
          <w:szCs w:val="24"/>
        </w:rPr>
        <w:t xml:space="preserve">Devices used for remote access meet the Agency’s minimum security conditions (current patches, endpoint protection, disk encryption) before they connect. Approved devices are Agency-issued, posture-checked devices.</w:t>
      </w:r>
    </w:p>
    <w:p>
      <w:pPr>
        <w:pStyle w:val="ListParagraph"/>
        <w:numPr>
          <w:ilvl w:val="0"/>
          <w:numId w:val="300"/>
        </w:numPr>
        <w:spacing w:after="60"/>
      </w:pPr>
      <w:r>
        <w:rPr>
          <w:rFonts w:ascii="Aptos" w:cs="Aptos" w:eastAsia="Aptos" w:hAnsi="Aptos"/>
          <w:sz w:val="24"/>
          <w:szCs w:val="24"/>
        </w:rPr>
        <w:t xml:space="preserve">Remote access may be limited by time window, location, or source network where a role does not require always-on access.</w:t>
      </w:r>
    </w:p>
    <w:p>
      <w:pPr>
        <w:pStyle w:val="ListParagraph"/>
        <w:numPr>
          <w:ilvl w:val="0"/>
          <w:numId w:val="300"/>
        </w:numPr>
        <w:spacing w:after="60"/>
      </w:pPr>
      <w:r>
        <w:rPr>
          <w:rFonts w:ascii="Aptos" w:cs="Aptos" w:eastAsia="Aptos" w:hAnsi="Aptos"/>
          <w:sz w:val="24"/>
          <w:szCs w:val="24"/>
        </w:rPr>
        <w:t xml:space="preserve">Remote sessions are logged. Session activity is monitored, sessions lock on idle, and they terminate on disconnect or after 15 minutes of inactivity.</w:t>
      </w:r>
    </w:p>
    <w:p>
      <w:pPr>
        <w:pStyle w:val="ListParagraph"/>
        <w:numPr>
          <w:ilvl w:val="0"/>
          <w:numId w:val="300"/>
        </w:numPr>
        <w:spacing w:after="60"/>
      </w:pPr>
      <w:r>
        <w:rPr>
          <w:rFonts w:ascii="Aptos" w:cs="Aptos" w:eastAsia="Aptos" w:hAnsi="Aptos"/>
          <w:sz w:val="24"/>
          <w:szCs w:val="24"/>
        </w:rPr>
        <w:t xml:space="preserve">Vendor and third-party remote access is granted only for the scope and duration of an approved task, is scheduled or supervised, and is governed by a signed Third-Party Access Agreement.</w:t>
      </w:r>
    </w:p>
    <w:p>
      <w:pPr>
        <w:pStyle w:val="ListParagraph"/>
        <w:numPr>
          <w:ilvl w:val="0"/>
          <w:numId w:val="300"/>
        </w:numPr>
        <w:spacing w:after="60"/>
      </w:pPr>
      <w:r>
        <w:rPr>
          <w:rFonts w:ascii="Aptos" w:cs="Aptos" w:eastAsia="Aptos" w:hAnsi="Aptos"/>
          <w:sz w:val="24"/>
          <w:szCs w:val="24"/>
        </w:rPr>
        <w:t xml:space="preserve">Remote-access rights are reviewed on a defined cycle and revoked immediately on change of role, end of engagement, or suspected compromise.</w:t>
      </w:r>
    </w:p>
    <w:p>
      <w:pPr>
        <w:pStyle w:val="ListParagraph"/>
        <w:numPr>
          <w:ilvl w:val="0"/>
          <w:numId w:val="300"/>
        </w:numPr>
        <w:spacing w:after="60"/>
      </w:pPr>
      <w:r>
        <w:rPr>
          <w:rFonts w:ascii="Aptos" w:cs="Aptos" w:eastAsia="Aptos" w:hAnsi="Aptos"/>
          <w:sz w:val="24"/>
          <w:szCs w:val="24"/>
        </w:rPr>
        <w:t xml:space="preserve">Specific configuration values (approved clients, ciphers, idle-timeout length, split-tunneling rules) and their technical enforcement are recorded in the VPN / Remote Access Configuration Records and the Authorized Remote Device Register, not in this policy.</w:t>
      </w:r>
    </w:p>
    <w:p>
      <w:pPr>
        <w:pStyle w:val="ListParagraph"/>
        <w:numPr>
          <w:ilvl w:val="0"/>
          <w:numId w:val="300"/>
        </w:numPr>
        <w:spacing w:after="60"/>
      </w:pPr>
      <w:r>
        <w:rPr>
          <w:rFonts w:ascii="Aptos" w:cs="Aptos" w:eastAsia="Aptos" w:hAnsi="Aptos"/>
          <w:sz w:val="24"/>
          <w:szCs w:val="24"/>
        </w:rPr>
        <w:t xml:space="preserve">Remote access to systems reached through IDACS is governed in addition by the CJIS Handling Addendum below.</w:t>
      </w:r>
    </w:p>
    <w:p>
      <w:pPr>
        <w:pStyle w:val="Heading2"/>
      </w:pPr>
      <w: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Owns this policy; approves who may hold remote access and any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team</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Implements approved remote-access methods; enforces MFA and device conditions; configures session logging, idle lock, and timeout; provisions and deprovisions remote accounts.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Operations Supervisor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Reports remote-access problems and any use that bypasses approved methods.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Connect only through approved methods on approved devices, complete MFA, and never share remote credentials or an active session.</w:t>
            </w:r>
          </w:p>
        </w:tc>
      </w:tr>
    </w:tbl>
    <w:p>
      <w:pPr>
        <w:pStyle w:val="Heading2"/>
      </w:pPr>
      <w:r>
        <w:t xml:space="preserve">6. Enforcement</w:t>
      </w:r>
    </w:p>
    <w:p>
      <w:pPr>
        <w:spacing w:after="120"/>
      </w:pPr>
      <w:r>
        <w:rPr>
          <w:rFonts w:ascii="Aptos" w:cs="Aptos" w:eastAsia="Aptos" w:hAnsi="Aptos"/>
          <w:sz w:val="24"/>
          <w:szCs w:val="24"/>
        </w:rPr>
        <w:t xml:space="preserve">The Director monitors compliance through periodic account and session-log reviews. Remote access that violates this policy is suspended or revoked, and repeated violations are handled under the Agency’s corrective process.</w:t>
      </w:r>
    </w:p>
    <w:p>
      <w:pPr>
        <w:pStyle w:val="Heading2"/>
      </w:pPr>
      <w:r>
        <w:t xml:space="preserve">7. Exceptions</w:t>
      </w:r>
    </w:p>
    <w:p>
      <w:pPr>
        <w:spacing w:after="120"/>
      </w:pPr>
      <w:r>
        <w:rPr>
          <w:rFonts w:ascii="Aptos" w:cs="Aptos" w:eastAsia="Aptos" w:hAnsi="Aptos"/>
          <w:sz w:val="24"/>
          <w:szCs w:val="24"/>
        </w:rPr>
        <w:t xml:space="preserve">Exceptions require written approval from the Director, must state the system affected and any compensating control, and are recorded in the Risk / Finding Register with a target date. They expire after 12 months unless renewed.</w:t>
      </w:r>
    </w:p>
    <w:p>
      <w:pPr>
        <w:pStyle w:val="Heading2"/>
      </w:pPr>
      <w:r>
        <w:t xml:space="preserve">8. Review Schedule</w:t>
      </w:r>
    </w:p>
    <w:p>
      <w:pPr>
        <w:spacing w:after="120"/>
      </w:pPr>
      <w:r>
        <w:rPr>
          <w:rFonts w:ascii="Aptos" w:cs="Aptos" w:eastAsia="Aptos" w:hAnsi="Aptos"/>
          <w:sz w:val="24"/>
          <w:szCs w:val="24"/>
        </w:rPr>
        <w:t xml:space="preserve">This policy is reviewed at least annually and after any significant change to remote-access technology or methods, by the Information Security Analyst.</w:t>
      </w:r>
    </w:p>
    <w:p>
      <w:pPr>
        <w:pStyle w:val="Heading2"/>
      </w:pPr>
      <w: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Large (25+, dedicated IT/security)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An enterprise remote-access gateway enforces device posture and MFA automatically. Vendor access at Tri-River Regional 911 runs through brokered, recorded sessions, and remote-session logs feed the SIEM.</w:t>
            </w:r>
          </w:p>
        </w:tc>
      </w:tr>
    </w:tbl>
    <w:p>
      <w:pPr>
        <w:pStyle w:val="Heading2"/>
      </w:pPr>
      <w:r>
        <w:t xml:space="preserve">CJIS Handling Addendum</w:t>
      </w:r>
    </w:p>
    <w:p>
      <w:pPr>
        <w:spacing w:after="120"/>
      </w:pPr>
      <w:r>
        <w:rPr>
          <w:rFonts w:ascii="Aptos" w:cs="Aptos" w:eastAsia="Aptos" w:hAnsi="Aptos"/>
          <w:sz w:val="24"/>
          <w:szCs w:val="24"/>
        </w:rPr>
        <w:t xml:space="preserve">CJIS Handling: Remote access to systems carrying CJIS-regulated data, reached in Indiana through IDACS, is governed by the FBI CJIS Security Policy §5.5.6 (Remote Access) and §5.6 (Identification and Authentication) in addition to the controls above. Where IDACS is in scope, 240 IAC 5 applies alongside.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Source Authority</w:t>
            </w:r>
          </w:p>
          <w:p>
            <w:pPr>
              <w:spacing w:after="40"/>
            </w:pPr>
            <w:r>
              <w:rPr>
                <w:rFonts w:ascii="Aptos" w:cs="Aptos" w:eastAsia="Aptos" w:hAnsi="Aptos"/>
                <w:sz w:val="24"/>
                <w:szCs w:val="24"/>
              </w:rPr>
              <w:t xml:space="preserve">NENA-STA-040.2-2024: §6.6 (Inactive Sessions); §6.7.1 (Remote Access Device Security); §6.17 (Remote Access)</w:t>
            </w:r>
          </w:p>
          <w:p>
            <w:pPr>
              <w:spacing w:after="40"/>
            </w:pPr>
            <w:r>
              <w:rPr>
                <w:rFonts w:ascii="Aptos" w:cs="Aptos" w:eastAsia="Aptos" w:hAnsi="Aptos"/>
                <w:sz w:val="24"/>
                <w:szCs w:val="24"/>
              </w:rPr>
              <w:t xml:space="preserve">NIST SP 800-53 Rev. 5: AC-2, AC-17, AU-12, IA-2, SC-7</w:t>
            </w:r>
          </w:p>
          <w:p>
            <w:pPr>
              <w:spacing w:after="40"/>
            </w:pPr>
            <w:r>
              <w:rPr>
                <w:rFonts w:ascii="Aptos" w:cs="Aptos" w:eastAsia="Aptos" w:hAnsi="Aptos"/>
                <w:sz w:val="24"/>
                <w:szCs w:val="24"/>
              </w:rPr>
              <w:t xml:space="preserve">Indiana statutes and administrative code: 240 IAC 5: IDACS Security</w:t>
            </w:r>
          </w:p>
          <w:p>
            <w:pPr>
              <w:spacing w:after="0"/>
            </w:pPr>
            <w:r>
              <w:rPr>
                <w:rFonts w:ascii="Aptos" w:cs="Aptos" w:eastAsia="Aptos" w:hAnsi="Aptos"/>
                <w:sz w:val="24"/>
                <w:szCs w:val="24"/>
              </w:rPr>
              <w:t xml:space="preserve">CJIS Security Policy v5.9: §5.5.6 (Remote Access); §5.6 (Identification and Authentication) (CJIS-regulated data in scope, via IDACS)</w:t>
            </w:r>
          </w:p>
        </w:tc>
      </w:tr>
    </w:tbl>
    <w:p>
      <w:pPr>
        <w:pStyle w:val="Heading2"/>
      </w:pPr>
      <w: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Governing Board Chair</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Information Security Analyst</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rPr>
          <w:cantSplit/>
        </w:trP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2026-01-20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issue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Seal"/>
          <wp:cNvGraphicFramePr>
            <a:graphicFrameLocks noChangeAspect="1"/>
          </wp:cNvGraphicFramePr>
          <a:graphic>
            <a:graphicData uri="http://schemas.openxmlformats.org/drawingml/2006/picture">
              <pic:pic>
                <pic:nvPicPr>
                  <pic:cNvPr id="0" name="seal.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seal.png"/><Relationship Id="rId2"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Remote Access Policy - EXAMPLE - L</dc:title>
</cp:coreProperties>
</file>

<file path=docProps/custom.xml><?xml version="1.0" encoding="utf-8"?>
<Properties xmlns="http://schemas.openxmlformats.org/officeDocument/2006/custom-properties" xmlns:vt="http://schemas.openxmlformats.org/officeDocument/2006/docPropsVTypes"/>
</file>