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>Change Management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March 2, 2026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2027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Internal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governs how Wabash Valley Communications makes changes to its systems: what counts as a change, how changes are approved and documented, and how deviations are reviewed. It applies across every system and device, and is the parent for the Agency's change, patch, and configuration records.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Applies to: all personnel and shared county IT who request, approve, or implement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Covers: every production system and device the Agency operates, including telephony, CAD, network, and DNS.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Excludes: None.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Change: any addition, modification, or removal that could affect a production system, its configuration, or its security posture.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Standard change: a pre-approved, low-risk change that follows an established procedure.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Major (significant) change: a change with meaningful security, operational, or availability impact, requiring a risk-scaled assessment and approval before implementation.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Emergency change: a change made without delay to restore service or remove an immediate threat, approved through the Emergency Change Procedures and documented after the fact.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Supervised maintenance: maintenance of a sensitive or critical system performed by authorized personnel under defined safeguards (scheduled window, pre-maintenance backup, second-person sign-off).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classify every change to a production system as a standard, major (significant), or emergency change, and route each through the approval path defined for its class.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not implement a change to a production system without the documented approval required for its class, and shall record every change request, approval, and outcome in the Change Request &amp; Approval Log.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approving a major change, the Agency shall assess its security impact, operational risk, and side effects against the approved baselines, with sign-off scaled to the risk.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review deviations from standard configurations and approved baselines and record the disposition of each.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5. DNS Administration and Change Governance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restrict who may manage DNS roles and records, route every DNS change through the approval workflow in this policy, and log the review and sign-off for each record or zone change.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6. Supervised Maintenance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The Agency shall perform maintenance on sensitive or critical systems only with authorized personnel, on a scheduled window, with a pre-maintenance backup and a second-person sign-off, protecting data confidentiality and service availability throughout.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7. Security Assessment Gate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Before a major deployment or significant change goes live, the Agency shall complete a security assessment scaled to the risk, including a review of cryptographic controls, and obtain sign-off on the assessment before go-live.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8.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Approves major and emergency changes; owns this policy and the deviation process.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Submits change requests, implements approved changes, performs supervised maintenance with a second-person sign-off, and keeps the change records.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Reviews and approves changes at the level set for each risk tier and reviews deviations.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Completes the pre-go-live security assessment, including the cryptographic review, for major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Follow this policy and make no unauthorized changes to Agency systems.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9. Enforcement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Compliance is monitored through the change records and periodic review. A change made without the required approval is treated as unauthorized, corrected, and reviewed under the Agency's corrective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10. Exceptions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An exception to this policy requires written approval from the Director, recorded with a reason and an expiry. An emergency change is not an exception: it is a defined change class handled through the Emergency Change Procedures and documented after the fact.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>11. Review Schedule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This policy is reviewed at least annually and after a significant change to its systems or change process, by the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A change approver or small advisory group reviews changes on a set cadence, with the security coordinator running the assessment gate for major changes. Records live in a shared change log.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NENA-STA-040.2-2024: §4.4, §5.2, §6.4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NIST SP 800-53 Rev. 5: CA-2, CM-3, CM-4, CM-5, CM-9, MA-2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 (approving)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 (owner)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March 2, 2026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March 2,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Initial issue and adoption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Change Management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