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Change Management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Hickory County 911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Tracy Holloway,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February 17, 2026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February 17, 2027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governs how Hickory County 911 makes changes to its systems: what counts as a change, how changes are approved and documented, and how deviations are reviewed. It applies across every system and device, and is the parent for the Agency's change, patch, and configuration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all personnel and the county IT technician who request, approve, or implement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every production system and device the Agency operates, including telephony, CAD, network, and DNS.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None.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Change: any addition, modification, or removal that could affect a production system, its configuration, or its security posture.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Standard change: a pre-approved, low-risk change that follows an established procedure.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Major (significant) change: a change with meaningful security, operational, or availability impact, requiring a risk-scaled assessment and approval before implementation.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Emergency change: a change made without delay to restore service or remove an immediate threat, approved through the Emergency Change Procedures and documented after the fact.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Supervised maintenance: maintenance of a sensitive or critical system performed by authorized personnel under defined safeguards (scheduled window, pre-maintenance backup, second-person sign-off).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classify every change to a production system as a standard, major (significant), or emergency change, and route each through the approval path defined for its class.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not implement a change to a production system without the documented approval required for its class, and shall record every change request, approval, and outcome in the Change Request &amp; Approval Log.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Before approving a major change, the Agency shall assess its security impact, operational risk, and side effects against the approved baselines, with sign-off scaled to the risk.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review deviations from standard configurations and approved baselines and record the disposition of each.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5. DNS Administration and Change Governance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restrict who may manage DNS roles and records, route every DNS change through the approval workflow in this policy, and log the review and sign-off for each record or zone change.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6. Supervised Maintenance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perform maintenance on sensitive or critical systems only with authorized personnel, on a scheduled window, with a pre-maintenance backup and a second-person sign-off, protecting data confidentiality and service availability throughout.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7. Security Assessment Gate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Before a major deployment or significant change goes live, the Agency shall complete a security assessment scaled to the risk, including a review of cryptographic controls, and obtain sign-off on the assessment before go-live.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8.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Approves major and emergency changes; owns this policy and the deviation process.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 (shared)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Submits change requests, implements approved changes, performs supervised maintenance with a second-person sign-off, and keeps the change records.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Reviews and approves changes at the level set for each risk tier and reviews deviations.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 (shared)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Completes the pre-go-live security assessment, including the cryptographic review, for major changes.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Follow this policy and make no unauthorized changes to Agency systems.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9. Enforcement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Compliance is monitored through the change records and periodic review. A change made without the required approval is treated as unauthorized, corrected, and reviewed under the Agency's corrective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10. Exceptions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An exception to this policy requires written approval from the Director, recorded with a reason and an expiry. An emergency change is not an exception: it is a defined change class handled through the Emergency Change Procedures and documented after the fact.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11. Review Schedule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is reviewed at least annually and after a significant change to its systems or change process, by the the Director.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One person, usually the director, approves changes and keeps a simple change log. Standard changes follow a short checklist; major or emergency changes get a second set of eyes from county or vendor IT and a pre-change backup.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§4.4, §5.2, §6.4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CA-2, CM-3, CM-4, CM-5, CM-9, MA-2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 (approving)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February 17,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 (owner)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February 17,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February 17,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 and adoption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Change Management Policy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