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Evidence Preservation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2027-02-10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 / CJIS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Completion header</w:t>
            </w:r>
          </w:p>
          <w:p>
            <w:pPr>
              <w:spacing w:after="60"/>
            </w:pPr>
            <w:r>
              <w:rPr>
                <w:rFonts w:ascii="Aptos" w:cs="Aptos" w:eastAsia="Aptos" w:hAnsi="Aptos"/>
                <w:b/>
                <w:bCs/>
                <w:i w:val="false"/>
                <w:iCs w:val="false"/>
                <w:sz w:val="24"/>
                <w:szCs w:val="24"/>
              </w:rPr>
              <w:t xml:space="preserve">Completed by (first responder role): On-duty dispatcher      Date / time: 2026-02-12 21:40</w:t>
            </w:r>
          </w:p>
          <w:p>
            <w:pPr>
              <w:spacing w:after="0"/>
            </w:pPr>
            <w:r>
              <w:rPr>
                <w:rFonts w:ascii="Aptos" w:cs="Aptos" w:eastAsia="Aptos" w:hAnsi="Aptos"/>
                <w:b/>
                <w:bCs/>
                <w:i w:val="false"/>
                <w:iCs w:val="false"/>
                <w:sz w:val="24"/>
                <w:szCs w:val="24"/>
              </w:rPr>
              <w:t xml:space="preserve">Incident reference: INC-2026-014 (Incident Log / Register)      Item(s): 1 USB drive (unknown origin), 1 dispatch workstation</w:t>
            </w:r>
          </w:p>
        </w:tc>
      </w:tr>
    </w:tbl>
    <w:p>
      <w:pPr>
        <w:spacing w:after="60"/>
      </w:pPr>
    </w:p>
    <w:p>
      <w:pPr>
        <w:pStyle w:val="Heading2"/>
        <w:spacing w:after="100" w:before="220"/>
      </w:pPr>
      <w:r>
        <w:rPr>
          <w:rFonts w:ascii="Aptos" w:cs="Aptos" w:eastAsia="Aptos" w:hAnsi="Aptos"/>
          <w:b/>
          <w:bCs/>
          <w:color w:val="1B3A5C"/>
          <w:sz w:val="26"/>
          <w:szCs w:val="26"/>
        </w:rPr>
        <w:t xml:space="preserve">1. Evidence Preservation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Preservation step (in order)</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Done (Y / N / NA)</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Do not power off, log off, or disturb a running system unless directed; preserve its current state.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left running; not disturbed</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Photograph the screen, device, cabling, and location before touching anything.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Photos taken of screen, device, and cabling</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who was present, what was found, and the date and time of discovery.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Discovery time and personnel recorded</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Capture volatile data (memory, active connections) before disconnecting, per the Evidence Collection &amp; Chain-of-Custody Procedures.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Memory captured before disconnecting</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Label each item and record its identifier, make, model, and serial number.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Item labeled with make, model, and serial</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Place items in tamper-evident packaging or a sealed, access-controlled store.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Sealed in tamper-evident bag</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Open a line in the Chain-of-Custody Log for each item and sign it.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Custody log opened and signed</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Hand off only to an authorized recipient and record the transfer in the Chain-of-Custody Log.</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Handed to authorized analyst; transfer recorded</w:t>
            </w:r>
          </w:p>
        </w:tc>
      </w:tr>
    </w:tbl>
    <w:p>
      <w:pPr>
        <w:pStyle w:val="Heading2"/>
        <w:spacing w:after="100" w:before="220"/>
      </w:pPr>
      <w:r>
        <w:rPr>
          <w:rFonts w:ascii="Aptos" w:cs="Aptos" w:eastAsia="Aptos" w:hAnsi="Aptos"/>
          <w:b/>
          <w:bCs/>
          <w:color w:val="1B3A5C"/>
          <w:sz w:val="26"/>
          <w:szCs w:val="26"/>
        </w:rPr>
        <w:t xml:space="preserve">2. Chain-of-Custody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1560"/>
        <w:gridCol w:w="1560"/>
        <w:gridCol w:w="1560"/>
        <w:gridCol w:w="1560"/>
      </w:tblGrid>
      <w:tr>
        <w:trPr>
          <w:cantSplit/>
          <w:tblHeader/>
        </w:trPr>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Item ID</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Description</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Collected / held by (role)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 / time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Hash / seal</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Hand-off: from → to; signature</w:t>
            </w:r>
          </w:p>
        </w:tc>
      </w:tr>
      <w:tr>
        <w:trPr>
          <w:cantSplit/>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EV-01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USB drive, unknown origin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dispatcher</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2026-02-12 21:45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SHA-256 on file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Found at console; sealed by dispatcher and held in the director's office</w:t>
            </w:r>
          </w:p>
        </w:tc>
      </w:tr>
      <w:tr>
        <w:trPr>
          <w:cantSplit/>
        </w:trP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EV-02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workstation image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2026-02-12 22:30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SHA-256 on file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to sealed evidence drawer</w:t>
            </w:r>
          </w:p>
        </w:tc>
      </w:tr>
    </w:tbl>
    <w:p>
      <w:pPr>
        <w:pStyle w:val="Heading2"/>
        <w:spacing w:after="100" w:before="220"/>
      </w:pPr>
      <w:r>
        <w:rPr>
          <w:rFonts w:ascii="Aptos" w:cs="Aptos" w:eastAsia="Aptos" w:hAnsi="Aptos"/>
          <w:b/>
          <w:bCs/>
          <w:color w:val="1B3A5C"/>
          <w:sz w:val="26"/>
          <w:szCs w:val="26"/>
        </w:rPr>
        <w:t xml:space="preserve">3. If a Step Cannot Be Completed</w:t>
      </w:r>
    </w:p>
    <w:p>
      <w:pPr>
        <w:spacing w:after="120" w:before="0"/>
      </w:pPr>
      <w:r>
        <w:rPr>
          <w:rFonts w:ascii="Aptos" w:cs="Aptos" w:eastAsia="Aptos" w:hAnsi="Aptos"/>
          <w:b w:val="false"/>
          <w:bCs w:val="false"/>
          <w:i w:val="false"/>
          <w:iCs w:val="false"/>
          <w:sz w:val="24"/>
          <w:szCs w:val="24"/>
        </w:rPr>
        <w:t>If any step cannot be completed, do not improvise. Record what could not be preserved and why, notify the Director, and note the gap in the Chain-of-Custody Log so the break in custody is documented. Treat lost or altered evidence as a finding in the Risk / Finding Register.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first responder, usually a dispatcher or the director, works the list by hand: leave the system as found, photograph it, label and bag each item, and record who held it. Call county or vendor IT or law enforcement before imaging. The point is simple: preserve, do not alter.</w:t>
            </w:r>
          </w:p>
        </w:tc>
      </w:tr>
    </w:tbl>
    <w:p>
      <w:pPr>
        <w:pStyle w:val="Heading2"/>
        <w:spacing w:after="100" w:before="220"/>
      </w:pPr>
      <w:r>
        <w:rPr>
          <w:rFonts w:ascii="Aptos" w:cs="Aptos" w:eastAsia="Aptos" w:hAnsi="Aptos"/>
          <w:b/>
          <w:bCs/>
          <w:color w:val="1B3A5C"/>
          <w:sz w:val="26"/>
          <w:szCs w:val="26"/>
        </w:rPr>
        <w:t xml:space="preserve">CJIS Handling Addendum</w:t>
      </w:r>
    </w:p>
    <w:p>
      <w:pPr>
        <w:spacing w:after="60"/>
      </w:pPr>
      <w:r>
        <w:rPr/>
        <w:t xml:space="preserve">CJIS Handling: preserved evidence may contain criminal justice information reached in Indiana through IDACS. Apply the FBI CJIS Security Policy v5.9 and 240 IAC 5 to its handling, storage, and transfer in addition to the steps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Cs w:val="false"/>
                <w:iCs w:val="false"/>
                <w:sz w:val="24"/>
                <w:szCs w:val="24"/>
              </w:rPr>
              <w:t xml:space="preserve">NENA-STA-040.2-2024: §5.6.5 (Incident Response)</w:t>
            </w:r>
          </w:p>
          <w:p>
            <w:pPr>
              <w:spacing w:after="40" w:before="0"/>
            </w:pPr>
            <w:r>
              <w:rPr>
                <w:rFonts w:ascii="Aptos" w:cs="Aptos" w:eastAsia="Aptos" w:hAnsi="Aptos"/>
                <w:bCs w:val="false"/>
                <w:iCs w:val="false"/>
                <w:sz w:val="24"/>
                <w:szCs w:val="24"/>
              </w:rPr>
              <w:t xml:space="preserve">NIST SP 800-53 Rev. 5: AU-9, AU-11, IR-4</w:t>
            </w:r>
          </w:p>
          <w:p>
            <w:pPr>
              <w:spacing w:after="40" w:before="0"/>
            </w:pPr>
            <w:r>
              <w:rPr>
                <w:rFonts w:ascii="Aptos" w:cs="Aptos" w:eastAsia="Aptos" w:hAnsi="Aptos"/>
                <w:bCs w:val="false"/>
                <w:iCs w:val="false"/>
                <w:sz w:val="24"/>
                <w:szCs w:val="24"/>
              </w:rPr>
              <w:t xml:space="preserve">Indiana statutes and administrative code: 240 IAC 5, IDACS security</w:t>
            </w:r>
          </w:p>
          <w:p>
            <w:pPr>
              <w:spacing w:after="40" w:before="0"/>
            </w:pPr>
            <w:r>
              <w:rPr>
                <w:rFonts w:ascii="Aptos" w:cs="Aptos" w:eastAsia="Aptos" w:hAnsi="Aptos"/>
                <w:bCs w:val="false"/>
                <w:iCs w:val="false"/>
                <w:sz w:val="24"/>
                <w:szCs w:val="24"/>
              </w:rPr>
              <w:t xml:space="preserve">CJIS Security Policy v5.9: §5.3 (Incident Response), §5.4 (Auditing &amp; Accountability) (CJIS-regulated data in scope, via IDACS)</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Completed by (On-duty dispatcher)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Reviewed by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county-911.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2026-06-01T15:29:11.487Z</dcterms:created>
  <dcterms:modified xsi:type="dcterms:W3CDTF">2026-06-01T15:29:11.487Z</dcterms:modified>
  <dc:title xmlns:dc="http://purl.org/dc/elements/1.1/">Evidence Preservation Checklist - EXAMPLE - S</dc:title>
</cp:coreProperties>
</file>

<file path=docProps/custom.xml><?xml version="1.0" encoding="utf-8"?>
<Properties xmlns="http://schemas.openxmlformats.org/officeDocument/2006/custom-properties" xmlns:vt="http://schemas.openxmlformats.org/officeDocument/2006/docPropsVTypes"/>
</file>