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Requirements in Vendor Contracts /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the Hickory County Board of Commissioners.</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2026-04-01    </w:t>
            </w:r>
            <w:r>
              <w:rPr>
                <w:rFonts w:ascii="Aptos" w:cs="Aptos" w:eastAsia="Aptos" w:hAnsi="Aptos"/>
                <w:b/>
                <w:bCs/>
                <w:sz w:val="24"/>
                <w:szCs w:val="24"/>
              </w:rPr>
              <w:t xml:space="preserve">Next Review: </w:t>
            </w:r>
            <w:r>
              <w:rPr>
                <w:rFonts w:ascii="Aptos" w:cs="Aptos" w:eastAsia="Aptos" w:hAnsi="Aptos"/>
                <w:sz w:val="24"/>
                <w:szCs w:val="24"/>
              </w:rPr>
              <w:t xml:space="preserve">2027-04-01</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County IT Administrator</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standard sets the security, privacy, and service-level requirements the Agency places in any contract or service-level agreement for a hosted or managed service. It states what every such contract must contain and is applied whenever the Agency procures, renews, or renegotiates one.</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all contracts, subscriptions, and SLAs for hosted or externally managed systems that store, transmit, or process Agency data (for example CAD, GIS, VoIP, cloud storage, and remote support).</w:t>
      </w:r>
    </w:p>
    <w:p>
      <w:pPr>
        <w:pStyle w:val="ListParagraph"/>
        <w:numPr>
          <w:ilvl w:val="0"/>
          <w:numId w:val="2"/>
        </w:numPr>
        <w:spacing w:after="60"/>
      </w:pPr>
      <w:r>
        <w:rPr>
          <w:rFonts w:ascii="Aptos" w:cs="Aptos" w:eastAsia="Aptos" w:hAnsi="Aptos"/>
          <w:sz w:val="24"/>
          <w:szCs w:val="24"/>
        </w:rPr>
        <w:t xml:space="preserve">Implements: Cybersecurity &amp; Privacy Policy; IT Support Accountability Agreement (SLA / MOU).</w:t>
      </w:r>
    </w:p>
    <w:p>
      <w:pPr>
        <w:pStyle w:val="ListParagraph"/>
        <w:numPr>
          <w:ilvl w:val="0"/>
          <w:numId w:val="2"/>
        </w:numPr>
        <w:spacing w:after="60"/>
      </w:pPr>
      <w:r>
        <w:rPr>
          <w:rFonts w:ascii="Aptos" w:cs="Aptos" w:eastAsia="Aptos" w:hAnsi="Aptos"/>
          <w:sz w:val="24"/>
          <w:szCs w:val="24"/>
        </w:rPr>
        <w:t xml:space="preserve">Excludes: one-time purchases of goods with no ongoing access to Agency data.</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00"/>
        </w:numPr>
        <w:spacing w:after="60"/>
      </w:pPr>
      <w:r>
        <w:rPr>
          <w:rFonts w:ascii="Aptos" w:cs="Aptos" w:eastAsia="Aptos" w:hAnsi="Aptos"/>
          <w:sz w:val="24"/>
          <w:szCs w:val="24"/>
        </w:rPr>
        <w:t xml:space="preserve">Data protection: the contract shall require the provider to protect Agency data at rest and in transit to the Agency’s Encryption Standards, and to use Agency data only to deliver the contracted service.</w:t>
      </w:r>
    </w:p>
    <w:p>
      <w:pPr>
        <w:pStyle w:val="ListParagraph"/>
        <w:numPr>
          <w:ilvl w:val="0"/>
          <w:numId w:val="300"/>
        </w:numPr>
        <w:spacing w:after="60"/>
      </w:pPr>
      <w:r>
        <w:rPr>
          <w:rFonts w:ascii="Aptos" w:cs="Aptos" w:eastAsia="Aptos" w:hAnsi="Aptos"/>
          <w:sz w:val="24"/>
          <w:szCs w:val="24"/>
        </w:rPr>
        <w:t xml:space="preserve">Inventory and configuration accuracy: the provider shall maintain an accurate inventory of the systems and data in scope and notify the Agency of material changes to them.</w:t>
      </w:r>
    </w:p>
    <w:p>
      <w:pPr>
        <w:pStyle w:val="ListParagraph"/>
        <w:numPr>
          <w:ilvl w:val="0"/>
          <w:numId w:val="300"/>
        </w:numPr>
        <w:spacing w:after="60"/>
      </w:pPr>
      <w:r>
        <w:rPr>
          <w:rFonts w:ascii="Aptos" w:cs="Aptos" w:eastAsia="Aptos" w:hAnsi="Aptos"/>
          <w:sz w:val="24"/>
          <w:szCs w:val="24"/>
        </w:rPr>
        <w:t xml:space="preserve">Change notification: the provider shall notify the Agency in advance of changes affecting security, data handling, or availability, within 10 business days.</w:t>
      </w:r>
    </w:p>
    <w:p>
      <w:pPr>
        <w:pStyle w:val="ListParagraph"/>
        <w:numPr>
          <w:ilvl w:val="0"/>
          <w:numId w:val="300"/>
        </w:numPr>
        <w:spacing w:after="60"/>
      </w:pPr>
      <w:r>
        <w:rPr>
          <w:rFonts w:ascii="Aptos" w:cs="Aptos" w:eastAsia="Aptos" w:hAnsi="Aptos"/>
          <w:sz w:val="24"/>
          <w:szCs w:val="24"/>
        </w:rPr>
        <w:t xml:space="preserve">Breach and incident reporting: the provider shall report suspected or confirmed security incidents affecting Agency data without undue delay and no later than 5 business days after discovery.</w:t>
      </w:r>
    </w:p>
    <w:p>
      <w:pPr>
        <w:pStyle w:val="ListParagraph"/>
        <w:numPr>
          <w:ilvl w:val="0"/>
          <w:numId w:val="300"/>
        </w:numPr>
        <w:spacing w:after="60"/>
      </w:pPr>
      <w:r>
        <w:rPr>
          <w:rFonts w:ascii="Aptos" w:cs="Aptos" w:eastAsia="Aptos" w:hAnsi="Aptos"/>
          <w:sz w:val="24"/>
          <w:szCs w:val="24"/>
        </w:rPr>
        <w:t xml:space="preserve">Audit and assurance: the contract shall grant the Agency the right to verify the provider’s security through evidence such as SOC 2 reports, questionnaires, or audit, at least annually.</w:t>
      </w:r>
    </w:p>
    <w:p>
      <w:pPr>
        <w:pStyle w:val="ListParagraph"/>
        <w:numPr>
          <w:ilvl w:val="0"/>
          <w:numId w:val="300"/>
        </w:numPr>
        <w:spacing w:after="60"/>
      </w:pPr>
      <w:r>
        <w:rPr>
          <w:rFonts w:ascii="Aptos" w:cs="Aptos" w:eastAsia="Aptos" w:hAnsi="Aptos"/>
          <w:sz w:val="24"/>
          <w:szCs w:val="24"/>
        </w:rPr>
        <w:t xml:space="preserve">Service levels: the contract shall state measurable service levels (availability, response, and restoration targets) and the remedies for missing them.</w:t>
      </w:r>
    </w:p>
    <w:p>
      <w:pPr>
        <w:pStyle w:val="ListParagraph"/>
        <w:numPr>
          <w:ilvl w:val="0"/>
          <w:numId w:val="300"/>
        </w:numPr>
        <w:spacing w:after="60"/>
      </w:pPr>
      <w:r>
        <w:rPr>
          <w:rFonts w:ascii="Aptos" w:cs="Aptos" w:eastAsia="Aptos" w:hAnsi="Aptos"/>
          <w:sz w:val="24"/>
          <w:szCs w:val="24"/>
        </w:rPr>
        <w:t xml:space="preserve">Subcontractors and supply chain: the provider shall disclose subcontractors with access to Agency data and hold them to equivalent requirements.</w:t>
      </w:r>
    </w:p>
    <w:p>
      <w:pPr>
        <w:pStyle w:val="ListParagraph"/>
        <w:numPr>
          <w:ilvl w:val="0"/>
          <w:numId w:val="300"/>
        </w:numPr>
        <w:spacing w:after="60"/>
      </w:pPr>
      <w:r>
        <w:rPr>
          <w:rFonts w:ascii="Aptos" w:cs="Aptos" w:eastAsia="Aptos" w:hAnsi="Aptos"/>
          <w:sz w:val="24"/>
          <w:szCs w:val="24"/>
        </w:rPr>
        <w:t xml:space="preserve">Return and destruction: on termination the provider shall return or destroy Agency data on a defined timeline and certify destruction, per the Document Handling Standard.</w:t>
      </w:r>
    </w:p>
    <w:p>
      <w:pPr>
        <w:pStyle w:val="ListParagraph"/>
        <w:numPr>
          <w:ilvl w:val="0"/>
          <w:numId w:val="300"/>
        </w:numPr>
        <w:spacing w:after="60"/>
      </w:pPr>
      <w:r>
        <w:rPr>
          <w:rFonts w:ascii="Aptos" w:cs="Aptos" w:eastAsia="Aptos" w:hAnsi="Aptos"/>
          <w:sz w:val="24"/>
          <w:szCs w:val="24"/>
        </w:rPr>
        <w:t xml:space="preserve">CJIS handling: where the service stores, processes, or transmits CJIS-regulated data (reached in Indiana through IDACS), the contract shall bind the provider to the CJIS Security Policy and incorporate the CJIS Data Handling Addendum.</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acceptable term</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 acceptable</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Encryption at rest and in transit to the Agency’s Encryption Standards (e.g., AES-256, TLS 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Storage or transmission of Agency data with no encryption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Breach notification within a defined short window (e.g., 5 business days) and documented audit or annual assurance (e.g., SOC 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breach-notification duty, or no right to verify the provider’s security</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sz w:val="24"/>
          <w:szCs w:val="24"/>
        </w:rPr>
        <w:t xml:space="preserve">A deviation (for example, a vendor that will not accept a required clause) shall be requested in writing, risk-assessed, approved by the the Director, recorded in the Risk / Finding Register, and reviewed at renewal.</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sz w:val="24"/>
          <w:szCs w:val="24"/>
        </w:rPr>
        <w:t xml:space="preserve">This standard is reviewed at least annually and after a significant change in services, providers, or applicable law, by the County IT Administrator.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Use these clauses as-is when signing or renewing with your CAD, ESInet, or cloud provider. If the vendor’s standard contract already covers a clause, cite it; if it is missing, request an addendum. County counsel or purchasing can help.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i w:val="0"/>
                <w:iCs/>
                <w:sz w:val="24"/>
                <w:szCs w:val="24"/>
              </w:rPr>
              <w:t xml:space="preserve">NENA-STA-040.2-2024: §5.2, §10</w:t>
            </w:r>
          </w:p>
          <w:p>
            <w:pPr>
              <w:spacing w:after="40" w:before="0"/>
            </w:pPr>
            <w:r>
              <w:rPr>
                <w:rFonts w:ascii="Aptos" w:cs="Aptos" w:eastAsia="Aptos" w:hAnsi="Aptos"/>
                <w:b w:val="0"/>
                <w:bCs/>
                <w:i w:val="0"/>
                <w:iCs/>
                <w:sz w:val="24"/>
                <w:szCs w:val="24"/>
              </w:rPr>
              <w:t xml:space="preserve">NIST SP 800-53 Rev. 5: CA-3, SA-4, SA-9, SR-3</w:t>
            </w:r>
          </w:p>
          <w:p>
            <w:pPr>
              <w:spacing w:after="40" w:before="0"/>
            </w:pPr>
            <w:r>
              <w:rPr>
                <w:rFonts w:ascii="Aptos" w:cs="Aptos" w:eastAsia="Aptos" w:hAnsi="Aptos"/>
                <w:b w:val="0"/>
                <w:bCs/>
                <w:i w:val="0"/>
                <w:iCs/>
                <w:sz w:val="24"/>
                <w:szCs w:val="24"/>
              </w:rPr>
              <w:t xml:space="preserve">Indiana statutes and administrative code: 240 IAC 5 (IDACS, where a provider reaches CJIS-regulated data)</w:t>
            </w:r>
          </w:p>
          <w:p>
            <w:pPr>
              <w:spacing w:after="40" w:before="0"/>
            </w:pPr>
            <w:r>
              <w:rPr>
                <w:rFonts w:ascii="Aptos" w:cs="Aptos" w:eastAsia="Aptos" w:hAnsi="Aptos"/>
                <w:b w:val="0"/>
                <w:bCs/>
                <w:i w:val="0"/>
                <w:iCs/>
                <w:sz w:val="24"/>
                <w:szCs w:val="24"/>
              </w:rPr>
              <w:t xml:space="preserve">CJIS Security Policy v5.9: §5.1  (CJIS-regulated data in scope, where a provider handles it)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2026-04-01</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2026-04-01</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Security Requirements in Vendor Contracts / SLAs - EXAMPLE - S</dc:title>
</cp:coreProperties>
</file>

<file path=docProps/custom.xml><?xml version="1.0" encoding="utf-8"?>
<Properties xmlns="http://schemas.openxmlformats.org/officeDocument/2006/custom-properties" xmlns:vt="http://schemas.openxmlformats.org/officeDocument/2006/docPropsVTypes"/>
</file>