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Vendor Security Assessment Questionnaire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Adopted by Tri-River Regional 911 Center under the authority of Dr. Lisa Park, Director.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2026-05-15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2026-11-15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Internal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Vendor identification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Vendor: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the Agency's NG911 / CAD vendor (Vendor X)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Product / service: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NG911 core and hosted CAD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Completed by (vendor):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vendor security lead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Reviewed by (agency):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2026-05-15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1. Vendor Security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Security control the vendor must confirm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Yes / No / N-A / Partial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Evidence (required)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1A. Data protection, access &amp; encryption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at rest to a current standard (e.g., AES-256).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AES-256 (FIPS-validated), SOC 2 Type II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in transit (TLS or equivalent).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TLS 1.3; mutual TLS on NG911 interfaces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Segregates or logically separates Agency data from other customers.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Dedicated environment; data residency confirmed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Enforces least-privilege access to Agency data and systems.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RBAC + PAM; access reviewed monthly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5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Requires multi-factor authentication for administrative and remote access.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Phishing-resistant MFA enforced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6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Deprovisions vendor and staff access promptly when roles change.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Automated deprovisioning; monthly recert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1B. Incident response, breach notification &amp; subcontractors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Notifies the Agency of a security incident affecting Agency data within 24 hours.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24-hour breach notice; named security contact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8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Maintains a documented incident response capability and tests it.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IR plan; joint tabletop conducted 2026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9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subcontractors with access to Agency data and flows these obligations to them.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Fourth parties disclosed; flow-down + right to audit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1C. Compliance, assurance &amp; security posture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10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Provides a current independent assurance report (e.g., SOC 2 Type II) on request.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SOC 2 Type II and ISO 27001 on file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11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Meets CJIS Security Policy handling where the vendor touches CJIS-regulated data (via IDACS).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CJIS Security Addendum signed; vendor personnel fingerprinted and screened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Runs regular vulnerability scanning and patching on systems holding Agency data.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Partial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Monthly patching, but emergency-patch SLA is 7 days; 72 hours requested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any material security breach affecting similar clients in the past 24 months.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 material breach disclosed in 24 months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Risk Disposition &amp; Routing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Score the completed questionnaire and record the result in the Third-Party Risk Assessment Records. A 'No' or 'Partial' on a material control is a gap: the Information Security Analyst assigns a risk rating and decides whether to accept, mitigate, or reject, then carries any required controls into the vendor's contract through the Security Requirements in Vendor Contracts / SLAs. For this vendor, the one Partial (emergency-patch SLA) is being negotiated to 72 hours at renewal, with a compensating monitoring control in place; overall risk accepted with conditions.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Use this questionnaire for any vendor with access to Agency systems or data. One person, usually the director, sends it, reviews the answers, and files the result. A completed questionnaire plus a current SOC 2 report is often enough for a small vendor.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§5.2, §5.6, §10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CA-3, SA-9, SR-3, SR-6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CJIS Security Policy v5.9: §5.1 (where the vendor accesses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2026-05-15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ririver-s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Vendor Security Assessment Questionnaire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