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Vulnerability Assessment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Cover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Assessment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2026-06-30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Assessor: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 (internal); semi-annual independent penetration test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Scope: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Tri-River Regional 911 Center servers, workstations, network, and NG911 across both centers; 2026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Tool / methodology: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Enterprise scanner (weekly authenticated); semi-annual third-party penetration test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report records Tri-River Regional 911 Center's 2026 vulnerability scans and the semi-annual independent penetration test across both centers and the NG911 environment. Weekly authenticated scans found one high finding on the NG911 BCF edge and one medium finding on the inter-center firewall; both are closed. Findings feed the Risk / Finding Register and are reviewed at the weekly security operations meeting.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NG911 BCF edge running firmware with a known CVE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Apply the vendor firmware update; verify on both centers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Overly permissive firewall rule between the two centers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Tighten the inter-center rule to required ports; log the change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IT Team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Apply firmware update; verify both centers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2026-07-05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Closed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Tighten inter-center firewall rule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2026-07-12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basic vulnerability scan and a short written report may be all that is realistic in-house; the county or a vendor often runs it. Record the scope, tool, findings, and what was fixed, and carry open items to the finding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CA-2, CA-8, RA-5, SI-2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2026-06-30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2026-06-30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2026-06-30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ririver-s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Vulnerability Assessment Reports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