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Cybersecurity Training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Authority: </w:t>
            </w:r>
            <w:r>
              <w:rPr>
                <w:rFonts w:ascii="Aptos" w:cs="Aptos" w:eastAsia="Aptos" w:hAnsi="Aptos"/>
                <w:sz w:val="24"/>
                <w:szCs w:val="24"/>
              </w:rPr>
              <w:t xml:space="preserve">Adopted by </w:t>
            </w:r>
            <w:r>
              <w:rPr>
                <w:rFonts w:ascii="Aptos" w:cs="Aptos" w:eastAsia="Aptos" w:hAnsi="Aptos"/>
                <w:sz w:val="24"/>
                <w:szCs w:val="24"/>
              </w:rPr>
              <w:t xml:space="preserve">Tri-River Regional 911 Center</w:t>
            </w:r>
            <w:r>
              <w:rPr>
                <w:rFonts w:ascii="Aptos" w:cs="Aptos" w:eastAsia="Aptos" w:hAnsi="Aptos"/>
                <w:sz w:val="24"/>
                <w:szCs w:val="24"/>
              </w:rPr>
              <w:t xml:space="preserve"> under the authority of the </w:t>
            </w:r>
            <w:r>
              <w:rPr>
                <w:rFonts w:ascii="Aptos" w:cs="Aptos" w:eastAsia="Aptos" w:hAnsi="Aptos"/>
                <w:sz w:val="24"/>
                <w:szCs w:val="24"/>
              </w:rPr>
              <w:t xml:space="preserve">Governing Board Chair</w:t>
            </w:r>
            <w:r>
              <w:rPr>
                <w:rFonts w:ascii="Aptos" w:cs="Aptos" w:eastAsia="Aptos" w:hAnsi="Aptos"/>
                <w:sz w:val="24"/>
                <w:szCs w:val="24"/>
              </w:rPr>
              <w:t xml:space="preserve">.</w:t>
            </w:r>
          </w:p>
          <w:p>
            <w:pPr>
              <w:spacing w:after="60"/>
            </w:pPr>
            <w:r>
              <w:rPr>
                <w:rFonts w:ascii="Aptos" w:cs="Aptos" w:eastAsia="Aptos" w:hAnsi="Aptos"/>
                <w:b/>
                <w:bCs/>
                <w:sz w:val="24"/>
                <w:szCs w:val="24"/>
              </w:rPr>
              <w:t xml:space="preserve">Version: </w:t>
            </w:r>
            <w:r>
              <w:rPr>
                <w:rFonts w:ascii="Aptos" w:cs="Aptos" w:eastAsia="Aptos" w:hAnsi="Aptos"/>
                <w:sz w:val="24"/>
                <w:szCs w:val="24"/>
              </w:rPr>
              <w:t xml:space="preserve">1.0    </w:t>
            </w:r>
            <w:r>
              <w:rPr>
                <w:rFonts w:ascii="Aptos" w:cs="Aptos" w:eastAsia="Aptos" w:hAnsi="Aptos"/>
                <w:b/>
                <w:bCs/>
                <w:sz w:val="24"/>
                <w:szCs w:val="24"/>
              </w:rPr>
              <w:t xml:space="preserve">Effective Date: </w:t>
            </w:r>
            <w:r>
              <w:rPr>
                <w:rFonts w:ascii="Aptos" w:cs="Aptos" w:eastAsia="Aptos" w:hAnsi="Aptos"/>
                <w:sz w:val="24"/>
                <w:szCs w:val="24"/>
              </w:rPr>
              <w:t xml:space="preserve">2026-01-20    </w:t>
            </w:r>
            <w:r>
              <w:rPr>
                <w:rFonts w:ascii="Aptos" w:cs="Aptos" w:eastAsia="Aptos" w:hAnsi="Aptos"/>
                <w:b/>
                <w:bCs/>
                <w:sz w:val="24"/>
                <w:szCs w:val="24"/>
              </w:rPr>
              <w:t xml:space="preserve">Next Review: </w:t>
            </w:r>
            <w:r>
              <w:rPr>
                <w:rFonts w:ascii="Aptos" w:cs="Aptos" w:eastAsia="Aptos" w:hAnsi="Aptos"/>
                <w:sz w:val="24"/>
                <w:szCs w:val="24"/>
              </w:rPr>
              <w:t xml:space="preserve">2027-01-20</w:t>
            </w:r>
          </w:p>
          <w:p>
            <w:pPr>
              <w:spacing w:after="60"/>
            </w:pPr>
            <w:r>
              <w:rPr>
                <w:rFonts w:ascii="Aptos" w:cs="Aptos" w:eastAsia="Aptos" w:hAnsi="Aptos"/>
                <w:b/>
                <w:bCs/>
                <w:sz w:val="24"/>
                <w:szCs w:val="24"/>
              </w:rPr>
              <w:t xml:space="preserve">Owner: </w:t>
            </w:r>
            <w:r>
              <w:rPr>
                <w:rFonts w:ascii="Aptos" w:cs="Aptos" w:eastAsia="Aptos" w:hAnsi="Aptos"/>
                <w:sz w:val="24"/>
                <w:szCs w:val="24"/>
              </w:rPr>
              <w:t xml:space="preserve">Information Security Analyst</w:t>
            </w:r>
          </w:p>
          <w:p>
            <w:pPr>
              <w:spacing w:after="0"/>
            </w:pPr>
            <w:r>
              <w:rPr>
                <w:rFonts w:ascii="Aptos" w:cs="Aptos" w:eastAsia="Aptos" w:hAnsi="Aptos"/>
                <w:b/>
                <w:bCs/>
                <w:sz w:val="24"/>
                <w:szCs w:val="24"/>
              </w:rPr>
              <w:t xml:space="preserve">Classification: </w:t>
            </w:r>
            <w:r>
              <w:rPr>
                <w:rFonts w:ascii="Aptos" w:cs="Aptos" w:eastAsia="Aptos" w:hAnsi="Aptos"/>
                <w:sz w:val="24"/>
                <w:szCs w:val="24"/>
              </w:rPr>
              <w:t xml:space="preserve">Internal</w:t>
            </w:r>
          </w:p>
        </w:tc>
      </w:tr>
    </w:tbl>
    <w:p>
      <w:pPr>
        <w:pStyle w:val="Heading2"/>
      </w:pPr>
      <w:r>
        <w:t xml:space="preserve">1. Purpose &amp; Scope</w:t>
      </w:r>
    </w:p>
    <w:p>
      <w:pPr>
        <w:spacing w:after="120"/>
      </w:pPr>
      <w:r>
        <w:rPr>
          <w:rFonts w:ascii="Aptos" w:cs="Aptos" w:eastAsia="Aptos" w:hAnsi="Aptos"/>
          <w:b/>
          <w:bCs/>
          <w:sz w:val="24"/>
          <w:szCs w:val="24"/>
        </w:rPr>
        <w:t xml:space="preserve">Purpose: </w:t>
      </w:r>
      <w:r>
        <w:rPr>
          <w:rFonts w:ascii="Aptos" w:cs="Aptos" w:eastAsia="Aptos" w:hAnsi="Aptos"/>
          <w:sz w:val="24"/>
          <w:szCs w:val="24"/>
        </w:rPr>
        <w:t xml:space="preserve">This plan establishes Tri-River Regional 911 Center’s cybersecurity training program: the topics every workforce member learns, the role-based training each group receives, and how the Agency tracks completion against leadership-set targets.</w:t>
      </w:r>
    </w:p>
    <w:p>
      <w:pPr>
        <w:spacing w:after="120"/>
      </w:pPr>
      <w:r>
        <w:rPr>
          <w:rFonts w:ascii="Aptos" w:cs="Aptos" w:eastAsia="Aptos" w:hAnsi="Aptos"/>
          <w:b/>
          <w:bCs/>
          <w:sz w:val="24"/>
          <w:szCs w:val="24"/>
        </w:rPr>
        <w:t xml:space="preserve">Scope: </w:t>
      </w:r>
      <w:r>
        <w:rPr>
          <w:rFonts w:ascii="Aptos" w:cs="Aptos" w:eastAsia="Aptos" w:hAnsi="Aptos"/>
          <w:sz w:val="24"/>
          <w:szCs w:val="24"/>
        </w:rPr>
        <w:t xml:space="preserve">Applies to all Tri-River Regional 911 Center personnel, including dispatchers and call-takers, IT staff, administrative staff, and leadership, and to contractors and vendor personnel where their access requires it.</w:t>
      </w:r>
    </w:p>
    <w:p>
      <w:pPr>
        <w:pStyle w:val="Heading2"/>
      </w:pPr>
      <w:r>
        <w:t xml:space="preserve">2. Definitions</w:t>
      </w:r>
    </w:p>
    <w:p>
      <w:pPr>
        <w:spacing w:after="120"/>
      </w:pPr>
      <w:r>
        <w:rPr>
          <w:rFonts w:ascii="Aptos" w:cs="Aptos" w:eastAsia="Aptos" w:hAnsi="Aptos"/>
          <w:b/>
          <w:bCs/>
          <w:sz w:val="24"/>
          <w:szCs w:val="24"/>
        </w:rPr>
        <w:t xml:space="preserve">Role-based training: </w:t>
      </w:r>
      <w:r>
        <w:rPr>
          <w:rFonts w:ascii="Aptos" w:cs="Aptos" w:eastAsia="Aptos" w:hAnsi="Aptos"/>
          <w:sz w:val="24"/>
          <w:szCs w:val="24"/>
        </w:rPr>
        <w:t xml:space="preserve">training assigned by job function (for example dispatcher, IT administrator, administrative staff), beyond the baseline awareness training every member receives.</w:t>
      </w:r>
    </w:p>
    <w:p>
      <w:pPr>
        <w:pStyle w:val="Heading2"/>
      </w:pPr>
      <w:r>
        <w:t xml:space="preserve">3. Roles &amp;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Responsibility</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Owns the plan; sets completion targets; reviews program status.</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Training Coordinator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Assigns role-based courses, schedules delivery, tracks completion, and escalates overdue training.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support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Delivers or provisions technical training and the phishing-simulation tooling.</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Supervisors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Ensure their staff complete assigned training on time.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Complete assigned training by the due date and apply it on the job.</w:t>
            </w:r>
          </w:p>
        </w:tc>
      </w:tr>
    </w:tbl>
    <w:p>
      <w:pPr>
        <w:pStyle w:val="Heading2"/>
      </w:pPr>
      <w:r>
        <w:t xml:space="preserve">4. Audience and Role-Based Assignment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cantSplit/>
        </w:trPr>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Audience</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Required training</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Frequency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All personnel</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Security-awareness baseline: phishing, data handling, password hygiene, incident reporting, and physical-security behavior (badges, tailgating)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at least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Dispatchers / call-takers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handling of caller and CJIS-regulated data and incident reporting during a 9-1-1 event</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IT / technical staff</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secure configuration, access management, and logging and monitoring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Personnel with IDACS / CJIS access</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CJIS Security Awareness Training</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On assignment, then every two years (per CJIS)</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Administrative staff</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records handling and acceptable use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r>
        <w:trPr>
          <w:cantSplit/>
        </w:trP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Leadership</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Baseline, plus governance and reporting duties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At onboarding, then annually</w:t>
            </w:r>
          </w:p>
        </w:tc>
      </w:tr>
    </w:tbl>
    <w:p>
      <w:pPr>
        <w:pStyle w:val="Heading2"/>
      </w:pPr>
      <w:r>
        <w:t xml:space="preserve">5. Curriculum and Delivery</w:t>
      </w:r>
    </w:p>
    <w:p>
      <w:pPr>
        <w:spacing w:after="120"/>
      </w:pPr>
      <w:r>
        <w:rPr>
          <w:rFonts w:ascii="Aptos" w:cs="Aptos" w:eastAsia="Aptos" w:hAnsi="Aptos"/>
          <w:sz w:val="24"/>
          <w:szCs w:val="24"/>
        </w:rPr>
        <w:t xml:space="preserve">Core topics for all personnel: phishing and social engineering, proper data handling and classification, password and authentication hygiene, how and when to report suspicious activity or data loss, and physical-security behavior. Role-based topics are assigned per the table above.</w:t>
      </w:r>
    </w:p>
    <w:p>
      <w:pPr>
        <w:spacing w:after="120"/>
      </w:pPr>
      <w:r>
        <w:rPr>
          <w:rFonts w:ascii="Aptos" w:cs="Aptos" w:eastAsia="Aptos" w:hAnsi="Aptos"/>
          <w:b/>
          <w:bCs/>
          <w:sz w:val="24"/>
          <w:szCs w:val="24"/>
        </w:rPr>
        <w:t xml:space="preserve">Delivery: </w:t>
      </w:r>
      <w:r>
        <w:rPr>
          <w:rFonts w:ascii="Aptos" w:cs="Aptos" w:eastAsia="Aptos" w:hAnsi="Aptos"/>
          <w:sz w:val="24"/>
          <w:szCs w:val="24"/>
        </w:rPr>
        <w:t xml:space="preserve">Tri-River Regional 911 Center uses a learning-management system with role-based enrollment, monthly phishing campaigns, and tabletop exercises. Indiana telecommunicator training requirements, including required IDACS and NCIC coursework, are met through the telecommunicator training program and tracked alongside this plan.</w:t>
      </w:r>
    </w:p>
    <w:p>
      <w:pPr>
        <w:pStyle w:val="Heading2"/>
      </w:pPr>
      <w:r>
        <w:t xml:space="preserve">6. Completion Tracking and Reporting</w:t>
      </w:r>
    </w:p>
    <w:p>
      <w:pPr>
        <w:spacing w:after="120"/>
      </w:pPr>
      <w:r>
        <w:rPr>
          <w:rFonts w:ascii="Aptos" w:cs="Aptos" w:eastAsia="Aptos" w:hAnsi="Aptos"/>
          <w:sz w:val="24"/>
          <w:szCs w:val="24"/>
        </w:rPr>
        <w:t xml:space="preserve">Completion is recorded for every assigned course in the Training Completion Records. The Training Coordinator tracks completion against the targets leadership sets, follows up on overdue training, and reports completion rates to the Director at least quarterly.</w:t>
      </w:r>
    </w:p>
    <w:p>
      <w:pPr>
        <w:spacing w:after="120"/>
      </w:pPr>
      <w:r>
        <w:rPr>
          <w:rFonts w:ascii="Aptos" w:cs="Aptos" w:eastAsia="Aptos" w:hAnsi="Aptos"/>
          <w:b/>
          <w:bCs/>
          <w:sz w:val="24"/>
          <w:szCs w:val="24"/>
        </w:rPr>
        <w:t xml:space="preserve">Targets: </w:t>
      </w:r>
      <w:r>
        <w:rPr>
          <w:rFonts w:ascii="Aptos" w:cs="Aptos" w:eastAsia="Aptos" w:hAnsi="Aptos"/>
          <w:sz w:val="24"/>
          <w:szCs w:val="24"/>
        </w:rPr>
        <w:t xml:space="preserve">all staff complete annual awareness training, new hires complete the baseline before system access, and completion and competency are dashboarded for leadership and reviewed each quarter.</w:t>
      </w:r>
    </w:p>
    <w:p>
      <w:pPr>
        <w:pStyle w:val="Heading2"/>
      </w:pPr>
      <w:r>
        <w:t xml:space="preserve">7. Review and Refresh</w:t>
      </w:r>
    </w:p>
    <w:p>
      <w:pPr>
        <w:spacing w:after="120"/>
      </w:pPr>
      <w:r>
        <w:rPr>
          <w:rFonts w:ascii="Aptos" w:cs="Aptos" w:eastAsia="Aptos" w:hAnsi="Aptos"/>
          <w:sz w:val="24"/>
          <w:szCs w:val="24"/>
        </w:rPr>
        <w:t xml:space="preserve">This plan and its materials are reviewed at least annually and refreshed when new threats or technologies change what staff need to know. Effectiveness is measured through phishing-simulation results, competency assessments, and completion rates, and the results shape the next revision.</w:t>
      </w:r>
    </w:p>
    <w:p>
      <w:pPr>
        <w:pStyle w:val="Heading2"/>
      </w:pPr>
      <w: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Large (25+, dedicated IT/security)</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learning-management system enrolls staff by role automatically, schedules recurring training, runs monthly phishing campaigns, and dashboards completion and competency for leadership.</w:t>
            </w:r>
          </w:p>
        </w:tc>
      </w:tr>
    </w:tbl>
    <w:p>
      <w:pPr>
        <w:pStyle w:val="Heading2"/>
      </w:pPr>
      <w:r>
        <w:t xml:space="preserve">CJIS / Indiana Overlay Note</w:t>
      </w:r>
    </w:p>
    <w:p>
      <w:pPr>
        <w:spacing w:after="120"/>
      </w:pPr>
      <w:r>
        <w:rPr>
          <w:rFonts w:ascii="Aptos" w:cs="Aptos" w:eastAsia="Aptos" w:hAnsi="Aptos"/>
          <w:sz w:val="24"/>
          <w:szCs w:val="24"/>
        </w:rPr>
        <w:t xml:space="preserve">This plan’s role-based assignments include CJIS Security Awareness Training for personnel with access to CJIS-regulated data (in Indiana, via IDACS), and the Indiana telecommunicator training requirements under IC 36-8-16.8, including required IDACS and NCIC coursework. Completion evidence is held in the Training Completion Records and the CJIS Security Awareness Training Completion Record.</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sz w:val="24"/>
                <w:szCs w:val="24"/>
              </w:rPr>
              <w:t xml:space="preserve">Source Authority</w:t>
            </w:r>
          </w:p>
          <w:p>
            <w:pPr>
              <w:spacing w:after="40"/>
            </w:pPr>
            <w:r>
              <w:rPr>
                <w:rFonts w:ascii="Aptos" w:cs="Aptos" w:eastAsia="Aptos" w:hAnsi="Aptos"/>
                <w:sz w:val="24"/>
                <w:szCs w:val="24"/>
              </w:rPr>
              <w:t xml:space="preserve">NENA-STA-040.2-2024: §5.1 (Cybersecurity Training); §5.1.1 (Cybersecurity Awareness Training); §5.1.2 (Technician Security Training)</w:t>
            </w:r>
          </w:p>
          <w:p>
            <w:pPr>
              <w:spacing w:after="40"/>
            </w:pPr>
            <w:r>
              <w:rPr>
                <w:rFonts w:ascii="Aptos" w:cs="Aptos" w:eastAsia="Aptos" w:hAnsi="Aptos"/>
                <w:sz w:val="24"/>
                <w:szCs w:val="24"/>
              </w:rPr>
              <w:t xml:space="preserve">NIST SP 800-53 Rev. 5: AT-1, AT-2, AT-3, AT-4</w:t>
            </w:r>
          </w:p>
          <w:p>
            <w:pPr>
              <w:spacing w:after="40"/>
            </w:pPr>
            <w:r>
              <w:rPr>
                <w:rFonts w:ascii="Aptos" w:cs="Aptos" w:eastAsia="Aptos" w:hAnsi="Aptos"/>
                <w:sz w:val="24"/>
                <w:szCs w:val="24"/>
              </w:rPr>
              <w:t xml:space="preserve">Indiana statutes and administrative code: IC 36-8-16.7: Statewide 911 (allowable training uses); IC 36-8-16.8: Public Safety Telecommunicator Training; 240 IAC 5: IDACS Security</w:t>
            </w:r>
          </w:p>
          <w:p>
            <w:pPr>
              <w:spacing w:after="0"/>
            </w:pPr>
            <w:r>
              <w:rPr>
                <w:rFonts w:ascii="Aptos" w:cs="Aptos" w:eastAsia="Aptos" w:hAnsi="Aptos"/>
                <w:sz w:val="24"/>
                <w:szCs w:val="24"/>
              </w:rPr>
              <w:t xml:space="preserve">CJIS Security Policy v5.9: §5.2 (Security Awareness Training) (CJIS-regulated data in scope, via IDACS)</w:t>
            </w:r>
          </w:p>
        </w:tc>
      </w:tr>
    </w:tbl>
    <w:p>
      <w:pPr>
        <w:pStyle w:val="Heading2"/>
      </w:pPr>
      <w: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cantSplit/>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212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Governing Board Chair</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Information Security Analyst</w:t>
            </w: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12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000"/>
        <w:gridCol w:w="4360"/>
      </w:tblGrid>
      <w:tr>
        <w:trPr>
          <w:cantSplit/>
        </w:trPr>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2026-01-20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Director</w:t>
            </w:r>
          </w:p>
        </w:tc>
        <w:tc>
          <w:tcPr>
            <w:tcW w:type="dxa" w:w="4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Seal"/>
          <wp:cNvGraphicFramePr>
            <a:graphicFrameLocks noChangeAspect="1"/>
          </wp:cNvGraphicFramePr>
          <a:graphic>
            <a:graphicData uri="http://schemas.openxmlformats.org/drawingml/2006/picture">
              <pic:pic>
                <pic:nvPicPr>
                  <pic:cNvPr id="0" name="seal.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5"/>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seal.png"/><Relationship Id="rId2"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2026-06-01T15:29:11.438Z</dcterms:created>
  <dcterms:modified xsi:type="dcterms:W3CDTF">2026-06-01T15:29:11.438Z</dcterms:modified>
  <dc:title xmlns:dc="http://purl.org/dc/elements/1.1/">Cybersecurity Training Plan - EXAMPLE - L</dc:title>
</cp:coreProperties>
</file>

<file path=docProps/custom.xml><?xml version="1.0" encoding="utf-8"?>
<Properties xmlns="http://schemas.openxmlformats.org/officeDocument/2006/custom-properties" xmlns:vt="http://schemas.openxmlformats.org/officeDocument/2006/docPropsVTypes"/>
</file>