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System Security Plans (per critical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Tracy Holloway,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March 2,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March 2, 2027</w:t>
            </w:r>
          </w:p>
          <w:p>
            <w:pPr>
              <w:spacing w:after="60"/>
            </w:pPr>
            <w:r>
              <w:rPr>
                <w:rFonts w:ascii="Aptos" w:cs="Aptos" w:eastAsia="Aptos" w:hAnsi="Aptos"/>
                <w:b/>
                <w:bCs/>
                <w:i w:val="false"/>
                <w:iCs w:val="false"/>
                <w:sz w:val="24"/>
                <w:szCs w:val="24"/>
              </w:rPr>
              <w:t>Owner: Director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p>
            <w:pPr>
              <w:spacing w:after="0"/>
            </w:pPr>
          </w:p>
        </w:tc>
      </w:tr>
    </w:tbl>
    <w:p>
      <w:pPr>
        <w:spacing w:after="60"/>
      </w:pPr>
    </w:p>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b w:val="false"/>
          <w:bCs w:val="false"/>
          <w:i w:val="false"/>
          <w:iCs w:val="false"/>
          <w:sz w:val="24"/>
          <w:szCs w:val="24"/>
        </w:rPr>
        <w:t>This System Security Plan documents one critical 9-1-1 system: what it is, how important it is, how it connects to and exchanges data with other systems, and the security controls in place on it. It is an as-built record, not a policy. Complete one plan per critical system. The governing documents are the Cybersecurity &amp; Privacy Policy and the Risk Management Methodology Standard; this record implements them for a single system.</w:t>
      </w:r>
    </w:p>
    <w:p>
      <w:pPr>
        <w:pStyle w:val="Heading2"/>
        <w:spacing w:after="100" w:before="220"/>
      </w:pPr>
      <w:r>
        <w:rPr>
          <w:rFonts w:ascii="Aptos" w:cs="Aptos" w:eastAsia="Aptos" w:hAnsi="Aptos"/>
          <w:b/>
          <w:bCs/>
          <w:color w:val="1B3A5C"/>
          <w:sz w:val="26"/>
          <w:szCs w:val="26"/>
        </w:rPr>
        <w:t xml:space="preserve">2.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Computer-Aided Dispatch (CAD)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On-prem, in the PSAP equipment room (co-located with the Sheriff's Office)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HC-CAD-01</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Vendor / product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the center's CAD vendor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Connectivity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ESInet provider, the state message switch via IDACS, and the Sheriff's Office RMS; detailed below</w:t>
            </w:r>
          </w:p>
        </w:tc>
      </w:tr>
    </w:tbl>
    <w:p>
      <w:pPr>
        <w:pStyle w:val="Heading2"/>
        <w:spacing w:after="100" w:before="220"/>
      </w:pPr>
      <w:r>
        <w:rPr>
          <w:rFonts w:ascii="Aptos" w:cs="Aptos" w:eastAsia="Aptos" w:hAnsi="Aptos"/>
          <w:b/>
          <w:bCs/>
          <w:color w:val="1B3A5C"/>
          <w:sz w:val="26"/>
          <w:szCs w:val="26"/>
        </w:rPr>
        <w:t>3. System Categorization</w:t>
      </w:r>
    </w:p>
    <w:p>
      <w:pPr>
        <w:spacing w:after="120" w:before="0"/>
      </w:pPr>
      <w:r>
        <w:rPr>
          <w:rFonts w:ascii="Aptos" w:cs="Aptos" w:eastAsia="Aptos" w:hAnsi="Aptos"/>
          <w:b w:val="false"/>
          <w:bCs w:val="false"/>
          <w:i w:val="false"/>
          <w:iCs w:val="false"/>
          <w:sz w:val="24"/>
          <w:szCs w:val="24"/>
        </w:rPr>
        <w:t>This system's criticality and data sensitivity set the level of protection it requires. The values below are carried from the Agency's ranking and classification work, not decided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Criticality tier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Critical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Confidentiality impact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High</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Integrity impact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High</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Availability impact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High</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Data sensitivity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Restricted; CJIS-regulated data in scope via IDACS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Categorization 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March 2, 2026</w:t>
            </w:r>
          </w:p>
        </w:tc>
      </w:tr>
    </w:tbl>
    <w:p>
      <w:pPr>
        <w:pStyle w:val="Heading2"/>
        <w:spacing w:after="100" w:before="220"/>
      </w:pPr>
      <w:r>
        <w:rPr>
          <w:rFonts w:ascii="Aptos" w:cs="Aptos" w:eastAsia="Aptos" w:hAnsi="Aptos"/>
          <w:b/>
          <w:bCs/>
          <w:color w:val="1B3A5C"/>
          <w:sz w:val="26"/>
          <w:szCs w:val="26"/>
        </w:rPr>
        <w:t>4. Interconnections &amp; Data Exchange</w:t>
      </w:r>
    </w:p>
    <w:p>
      <w:pPr>
        <w:spacing w:after="120" w:before="0"/>
      </w:pPr>
      <w:r>
        <w:rPr>
          <w:rFonts w:ascii="Aptos" w:cs="Aptos" w:eastAsia="Aptos" w:hAnsi="Aptos"/>
          <w:b w:val="false"/>
          <w:bCs w:val="false"/>
          <w:i w:val="false"/>
          <w:iCs w:val="false"/>
          <w:sz w:val="24"/>
          <w:szCs w:val="24"/>
        </w:rPr>
        <w:t>This section records how the system connects and what data crosses each connection. A connection is not authorized until it is approved and listed here. Summarize external connections that also appear in the External Connection Inventory; record remote-device connections in the Authorized Remote Device Register and reference them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Connected system / party</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Direction &amp; data exchanged</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Protocol / port</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Connection type (incl. P2P)</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Approved by (role) / 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ESInet provider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Inbound: 9-1-1 call data (ANI/ALI)</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SIP / provider circuit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Site-to-site (provider-managed)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March 2, 2026</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State message switch (IDACS)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Both: NCIC/IDACS queries and responses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IDACS-approved circuit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Dedicated state connection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March 2, 2026</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Sheriff's Office RMS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Outbound: incident records export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LAN / vendor interface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Internal LAN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March 2, 2026</w:t>
            </w:r>
          </w:p>
        </w:tc>
      </w:tr>
    </w:tbl>
    <w:p>
      <w:pPr>
        <w:pStyle w:val="Heading2"/>
        <w:spacing w:after="100" w:before="220"/>
      </w:pPr>
      <w:r>
        <w:rPr>
          <w:rFonts w:ascii="Aptos" w:cs="Aptos" w:eastAsia="Aptos" w:hAnsi="Aptos"/>
          <w:b/>
          <w:bCs/>
          <w:color w:val="1B3A5C"/>
          <w:sz w:val="26"/>
          <w:szCs w:val="26"/>
        </w:rPr>
        <w:t>5. Controls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Control area</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Implementation status</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Access control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 place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Unique logins per dispatcher; Director approves access (Access Control Policy)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Logging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 place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CAD events logged and reviewed (Logging Policy)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Endpoint protection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 place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 maintains anti-malware on CAD workstations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Backup</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 place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Nightly backup; restoration tested annually (Backup Policy)</w:t>
            </w:r>
          </w:p>
        </w:tc>
      </w:tr>
    </w:tbl>
    <w:p>
      <w:pPr>
        <w:pStyle w:val="Heading2"/>
        <w:spacing w:after="100" w:before="220"/>
      </w:pPr>
      <w:r>
        <w:rPr>
          <w:rFonts w:ascii="Aptos" w:cs="Aptos" w:eastAsia="Aptos" w:hAnsi="Aptos"/>
          <w:b/>
          <w:bCs/>
          <w:color w:val="1B3A5C"/>
          <w:sz w:val="26"/>
          <w:szCs w:val="26"/>
        </w:rPr>
        <w:t>6. Control Baseline &amp; Deviations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Control</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Approved baseline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CAD administrative access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Limited to Director and county IT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March 2, 2026</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Remote access to CAD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 permitted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March 2, 2026</w:t>
            </w:r>
          </w:p>
        </w:tc>
      </w:tr>
    </w:tbl>
    <w:p>
      <w:pPr>
        <w:pStyle w:val="Heading2"/>
        <w:spacing w:after="100" w:before="220"/>
      </w:pPr>
      <w:r>
        <w:rPr>
          <w:rFonts w:ascii="Aptos" w:cs="Aptos" w:eastAsia="Aptos" w:hAnsi="Aptos"/>
          <w:b/>
          <w:bCs/>
          <w:color w:val="1B3A5C"/>
          <w:sz w:val="26"/>
          <w:szCs w:val="26"/>
        </w:rPr>
        <w:t>7. Validation &amp; Review</w:t>
      </w:r>
    </w:p>
    <w:p>
      <w:pPr>
        <w:spacing w:after="120" w:before="0"/>
      </w:pPr>
      <w:r>
        <w:rPr>
          <w:rFonts w:ascii="Aptos" w:cs="Aptos" w:eastAsia="Aptos" w:hAnsi="Aptos"/>
          <w:b w:val="false"/>
          <w:bCs w:val="false"/>
          <w:i w:val="false"/>
          <w:iCs w:val="false"/>
          <w:sz w:val="24"/>
          <w:szCs w:val="24"/>
        </w:rPr>
        <w:t>Validated against the system's controls and the governing policies after each risk review and at least annually, by the Director. Each change is recorded in the Change History below.</w:t>
      </w:r>
    </w:p>
    <w:p>
      <w:pPr>
        <w:spacing w:after="60"/>
      </w:pP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Keep one short plan per critical system: at least CAD, and any other system the risk review flags. The director, with county or vendor IT, fills identity from the Master Asset Inventory and the tier from the Asset Criticality Ranking Matrix. A manual record is fine. Update after the annual risk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§4.2.2, §5.4, §6.11</w:t>
            </w:r>
          </w:p>
          <w:p>
            <w:pPr>
              <w:spacing w:after="40" w:before="0"/>
            </w:pPr>
            <w:r>
              <w:rPr>
                <w:rFonts w:ascii="Aptos" w:cs="Aptos" w:eastAsia="Aptos" w:hAnsi="Aptos"/>
                <w:b w:val="false"/>
                <w:bCs w:val="false"/>
                <w:i w:val="false"/>
                <w:iCs w:val="false"/>
                <w:sz w:val="24"/>
                <w:szCs w:val="24"/>
              </w:rPr>
              <w:t>NIST SP 800-53 Rev. 5: CA-3, CM-2, CM-8, PL-2, PL-8, PM-5, RA-2</w:t>
            </w:r>
          </w:p>
          <w:p>
            <w:pPr>
              <w:spacing w:after="40" w:before="0"/>
            </w:pPr>
            <w:r>
              <w:rPr>
                <w:rFonts w:ascii="Aptos" w:cs="Aptos" w:eastAsia="Aptos" w:hAnsi="Aptos"/>
                <w:b w:val="false"/>
                <w:bCs w:val="false"/>
                <w:i w:val="false"/>
                <w:iCs w:val="false"/>
                <w:sz w:val="24"/>
                <w:szCs w:val="24"/>
              </w:rPr>
              <w:t>Indiana statutes and administrative code:</w:t>
            </w:r>
          </w:p>
          <w:p>
            <w:pPr>
              <w:spacing w:after="0" w:before="0"/>
            </w:pPr>
            <w:r>
              <w:rPr>
                <w:rFonts w:ascii="Aptos" w:cs="Aptos" w:eastAsia="Aptos" w:hAnsi="Aptos"/>
                <w:b w:val="false"/>
                <w:bCs w:val="false"/>
                <w:i w:val="false"/>
                <w:iCs w:val="false"/>
                <w:sz w:val="24"/>
                <w:szCs w:val="24"/>
              </w:rPr>
              <w:t xml:space="preserve">    240 IAC 5: IDACS Security (where the system connects to IDACS)</w:t>
            </w:r>
          </w:p>
          <w:p>
            <w:pPr>
              <w:spacing w:after="40" w:before="0"/>
            </w:pPr>
            <w:r>
              <w:rPr>
                <w:rFonts w:ascii="Aptos" w:cs="Aptos" w:eastAsia="Aptos" w:hAnsi="Aptos"/>
                <w:b w:val="false"/>
                <w:bCs w:val="false"/>
                <w:i w:val="false"/>
                <w:iCs w:val="false"/>
                <w:sz w:val="24"/>
                <w:szCs w:val="24"/>
              </w:rPr>
              <w:t>CJIS Security Policy v5.9: §5.1 (Information Exchange Agreements; where CJIS-regulated data is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March 2, 2026</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System Security Plans (per critical system) - EXAMPLE - S</dc:title>
</cp:coreProperties>
</file>

<file path=docProps/custom.xml><?xml version="1.0" encoding="utf-8"?>
<Properties xmlns="http://schemas.openxmlformats.org/officeDocument/2006/custom-properties" xmlns:vt="http://schemas.openxmlformats.org/officeDocument/2006/docPropsVTypes"/>
</file>