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i w:val="0"/>
          <w:color w:val="1B3A5C"/>
          <w:sz w:val="40"/>
          <w:szCs w:val="40"/>
        </w:rPr>
        <w:t>Privileged Access Management (PAM)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sz w:val="24"/>
                <w:szCs w:val="24"/>
              </w:rPr>
              <w:t xml:space="preserve">Authority: </w:t>
            </w:r>
            <w:r>
              <w:rPr>
                <w:rFonts w:ascii="Aptos" w:cs="Aptos" w:eastAsia="Aptos" w:hAnsi="Aptos"/>
                <w:b w:val="false"/>
                <w:bCs w:val="false"/>
                <w:i w:val="false"/>
                <w:iCs w:val="false"/>
                <w:sz w:val="24"/>
                <w:szCs w:val="24"/>
              </w:rPr>
              <w:t xml:space="preserve">Adopted by </w:t>
            </w:r>
            <w:r>
              <w:rPr>
                <w:rFonts w:ascii="Aptos" w:cs="Aptos" w:eastAsia="Aptos" w:hAnsi="Aptos"/>
                <w:i w:val="false"/>
                <w:iCs w:val="false"/>
                <w:sz w:val="24"/>
                <w:szCs w:val="24"/>
              </w:rPr>
              <w:t>Wabash Valley Communications</w:t>
            </w:r>
            <w:r>
              <w:rPr>
                <w:rFonts w:ascii="Aptos" w:cs="Aptos" w:eastAsia="Aptos" w:hAnsi="Aptos"/>
                <w:b w:val="false"/>
                <w:bCs w:val="false"/>
                <w:i w:val="false"/>
                <w:iCs w:val="false"/>
                <w:sz w:val="24"/>
                <w:szCs w:val="24"/>
              </w:rPr>
              <w:t xml:space="preserve"> under the authority of </w:t>
            </w:r>
            <w:r>
              <w:rPr>
                <w:rFonts w:ascii="Aptos" w:cs="Aptos" w:eastAsia="Aptos" w:hAnsi="Aptos"/>
                <w:i w:val="false"/>
                <w:iCs w:val="false"/>
                <w:sz w:val="24"/>
                <w:szCs w:val="24"/>
              </w:rPr>
              <w:t>the Director</w:t>
            </w:r>
            <w:r>
              <w:rPr>
                <w:rFonts w:ascii="Aptos" w:cs="Aptos" w:eastAsia="Aptos" w:hAnsi="Aptos"/>
                <w:b w:val="false"/>
                <w:bCs w:val="false"/>
                <w:i w:val="false"/>
                <w:iCs w:val="false"/>
                <w:sz w:val="24"/>
                <w:szCs w:val="24"/>
              </w:rPr>
              <w:t xml:space="preserve">.</w:t>
            </w:r>
          </w:p>
          <w:p>
            <w:pPr>
              <w:spacing w:after="60"/>
            </w:pPr>
            <w:r>
              <w:rPr>
                <w:rFonts w:ascii="Aptos" w:cs="Aptos" w:eastAsia="Aptos" w:hAnsi="Aptos"/>
                <w:b/>
                <w:bCs/>
                <w:i w:val="false"/>
                <w:iCs w:val="false"/>
                <w:sz w:val="24"/>
                <w:szCs w:val="24"/>
              </w:rPr>
              <w:t xml:space="preserve">Version: </w:t>
            </w:r>
            <w:r>
              <w:rPr>
                <w:rFonts w:ascii="Aptos" w:cs="Aptos" w:eastAsia="Aptos" w:hAnsi="Aptos"/>
                <w:b w:val="false"/>
                <w:bCs w:val="false"/>
                <w:i w:val="false"/>
                <w:iCs w:val="false"/>
                <w:sz w:val="24"/>
                <w:szCs w:val="24"/>
              </w:rPr>
              <w:t xml:space="preserve">1.0    </w:t>
            </w:r>
            <w:r>
              <w:rPr>
                <w:rFonts w:ascii="Aptos" w:cs="Aptos" w:eastAsia="Aptos" w:hAnsi="Aptos"/>
                <w:b/>
                <w:bCs/>
                <w:i w:val="false"/>
                <w:iCs w:val="false"/>
                <w:sz w:val="24"/>
                <w:szCs w:val="24"/>
              </w:rPr>
              <w:t xml:space="preserve">Effective Date: </w:t>
            </w:r>
            <w:r>
              <w:rPr>
                <w:rFonts w:ascii="Aptos" w:cs="Aptos" w:eastAsia="Aptos" w:hAnsi="Aptos"/>
                <w:b w:val="false"/>
                <w:bCs w:val="false"/>
                <w:i w:val="false"/>
                <w:iCs w:val="false"/>
                <w:sz w:val="24"/>
                <w:szCs w:val="24"/>
              </w:rPr>
              <w:t xml:space="preserve">2026-03-06    </w:t>
            </w:r>
            <w:r>
              <w:rPr>
                <w:rFonts w:ascii="Aptos" w:cs="Aptos" w:eastAsia="Aptos" w:hAnsi="Aptos"/>
                <w:b/>
                <w:bCs/>
                <w:i w:val="false"/>
                <w:iCs w:val="false"/>
                <w:sz w:val="24"/>
                <w:szCs w:val="24"/>
              </w:rPr>
              <w:t xml:space="preserve">Next Review: </w:t>
            </w:r>
            <w:r>
              <w:rPr>
                <w:rFonts w:ascii="Aptos" w:cs="Aptos" w:eastAsia="Aptos" w:hAnsi="Aptos"/>
                <w:b w:val="false"/>
                <w:bCs w:val="false"/>
                <w:i w:val="false"/>
                <w:iCs w:val="false"/>
                <w:sz w:val="24"/>
                <w:szCs w:val="24"/>
              </w:rPr>
              <w:t>2027-03-06</w:t>
            </w:r>
          </w:p>
          <w:p>
            <w:pPr>
              <w:spacing w:after="60"/>
            </w:pPr>
            <w:r>
              <w:rPr>
                <w:rFonts w:ascii="Aptos" w:cs="Aptos" w:eastAsia="Aptos" w:hAnsi="Aptos"/>
                <w:b/>
                <w:bCs/>
                <w:i w:val="false"/>
                <w:iCs w:val="false"/>
                <w:sz w:val="24"/>
                <w:szCs w:val="24"/>
              </w:rPr>
              <w:t xml:space="preserve">Owner: </w:t>
            </w:r>
            <w:r>
              <w:rPr>
                <w:rFonts w:ascii="Aptos" w:cs="Aptos" w:eastAsia="Aptos" w:hAnsi="Aptos"/>
                <w:b w:val="false"/>
                <w:bCs w:val="false"/>
                <w:i w:val="false"/>
                <w:iCs w:val="false"/>
                <w:sz w:val="24"/>
                <w:szCs w:val="24"/>
              </w:rPr>
              <w:t>Security Coordinator</w:t>
            </w:r>
          </w:p>
          <w:p>
            <w:pPr>
              <w:spacing w:after="20"/>
            </w:pPr>
            <w:r>
              <w:rPr>
                <w:rFonts w:ascii="Aptos" w:cs="Aptos" w:eastAsia="Aptos" w:hAnsi="Aptos"/>
                <w:b/>
                <w:bCs/>
                <w:i w:val="false"/>
                <w:iCs w:val="false"/>
                <w:sz w:val="24"/>
                <w:szCs w:val="24"/>
              </w:rPr>
              <w:t xml:space="preserve">Classification: </w:t>
            </w:r>
            <w:r>
              <w:rPr>
                <w:rFonts w:ascii="Aptos" w:cs="Aptos" w:eastAsia="Aptos" w:hAnsi="Aptos"/>
                <w:b w:val="false"/>
                <w:bCs w:val="false"/>
                <w:i w:val="false"/>
                <w:iCs w:val="false"/>
                <w:sz w:val="24"/>
                <w:szCs w:val="24"/>
              </w:rPr>
              <w:t>Internal / CJIS</w:t>
            </w:r>
          </w:p>
        </w:tc>
      </w:tr>
    </w:tbl>
    <w:p>
      <w:pPr>
        <w:spacing w:after="60"/>
      </w:pPr>
    </w:p>
    <w:p>
      <w:pPr>
        <w:pStyle w:val="Heading2"/>
        <w:spacing w:after="100" w:before="220"/>
      </w:pPr>
      <w:r>
        <w:rPr>
          <w:rFonts w:ascii="Aptos" w:cs="Aptos" w:eastAsia="Aptos" w:hAnsi="Aptos"/>
          <w:b/>
          <w:bCs/>
          <w:color w:val="1B3A5C"/>
          <w:sz w:val="26"/>
          <w:szCs w:val="26"/>
        </w:rPr>
        <w:t xml:space="preserve">1. Purpose</w:t>
      </w:r>
    </w:p>
    <w:p>
      <w:pPr>
        <w:spacing w:after="120" w:before="0"/>
      </w:pPr>
      <w:r>
        <w:rPr>
          <w:rFonts w:ascii="Aptos" w:cs="Aptos" w:eastAsia="Aptos" w:hAnsi="Aptos"/>
          <w:b w:val="0"/>
          <w:bCs w:val="false"/>
          <w:i w:val="0"/>
          <w:iCs w:val="false"/>
          <w:sz w:val="24"/>
          <w:szCs w:val="24"/>
        </w:rPr>
        <w:t>This policy governs how privileged access to the Agency’s mission-critical systems is requested, approved, used, monitored, reviewed, and removed. Privileged accounts can change security settings, reach protected data, and disrupt dispatch, so they carry stronger controls and closer accountability than standard accounts.</w:t>
      </w:r>
    </w:p>
    <w:p>
      <w:pPr>
        <w:pStyle w:val="Heading2"/>
        <w:spacing w:after="100" w:before="220"/>
      </w:pPr>
      <w:r>
        <w:rPr>
          <w:rFonts w:ascii="Aptos" w:cs="Aptos" w:eastAsia="Aptos" w:hAnsi="Aptos"/>
          <w:b/>
          <w:bCs/>
          <w:color w:val="1B3A5C"/>
          <w:sz w:val="26"/>
          <w:szCs w:val="26"/>
        </w:rPr>
        <w:t xml:space="preserve">2. Scope</w:t>
      </w:r>
    </w:p>
    <w:p>
      <w:pPr>
        <w:pStyle w:val="ListParagraph"/>
        <w:numPr>
          <w:ilvl w:val="0"/>
          <w:numId w:val="2"/>
        </w:numPr>
        <w:spacing w:after="60"/>
      </w:pPr>
      <w:r>
        <w:rPr>
          <w:rFonts w:ascii="Aptos" w:cs="Aptos" w:eastAsia="Aptos" w:hAnsi="Aptos"/>
          <w:b w:val="0"/>
          <w:bCs w:val="false"/>
          <w:i w:val="0"/>
          <w:iCs w:val="false"/>
          <w:sz w:val="24"/>
          <w:szCs w:val="24"/>
        </w:rPr>
        <w:t>Applies to: all personnel and vendors who hold or grant privileged, administrative, service, or cloud-management access.</w:t>
      </w:r>
    </w:p>
    <w:p>
      <w:pPr>
        <w:pStyle w:val="ListParagraph"/>
        <w:numPr>
          <w:ilvl w:val="0"/>
          <w:numId w:val="2"/>
        </w:numPr>
        <w:spacing w:after="60"/>
      </w:pPr>
      <w:r>
        <w:rPr>
          <w:rFonts w:ascii="Aptos" w:cs="Aptos" w:eastAsia="Aptos" w:hAnsi="Aptos"/>
          <w:b w:val="0"/>
          <w:bCs w:val="false"/>
          <w:i w:val="0"/>
          <w:iCs w:val="false"/>
          <w:sz w:val="24"/>
          <w:szCs w:val="24"/>
        </w:rPr>
        <w:t>Covers: privileged and service accounts on the Agency’s CAD, RMS, network, telephony, and cloud systems, including temporary elevated access.</w:t>
      </w:r>
    </w:p>
    <w:p>
      <w:pPr>
        <w:pStyle w:val="ListParagraph"/>
        <w:numPr>
          <w:ilvl w:val="0"/>
          <w:numId w:val="2"/>
        </w:numPr>
        <w:spacing w:after="60"/>
      </w:pPr>
      <w:r>
        <w:rPr>
          <w:rFonts w:ascii="Aptos" w:cs="Aptos" w:eastAsia="Aptos" w:hAnsi="Aptos"/>
          <w:b w:val="0"/>
          <w:bCs w:val="false"/>
          <w:i w:val="0"/>
          <w:iCs w:val="false"/>
          <w:sz w:val="24"/>
          <w:szCs w:val="24"/>
        </w:rPr>
        <w:t>Excludes: standard user accounts, which are governed by the Access Control Policy.</w:t>
      </w:r>
    </w:p>
    <w:p>
      <w:pPr>
        <w:pStyle w:val="Heading2"/>
        <w:spacing w:after="100" w:before="220"/>
      </w:pPr>
      <w:r>
        <w:rPr>
          <w:rFonts w:ascii="Aptos" w:cs="Aptos" w:eastAsia="Aptos" w:hAnsi="Aptos"/>
          <w:b/>
          <w:bCs/>
          <w:color w:val="1B3A5C"/>
          <w:sz w:val="26"/>
          <w:szCs w:val="26"/>
        </w:rPr>
        <w:t xml:space="preserve">3. Definitions</w:t>
      </w:r>
    </w:p>
    <w:p>
      <w:pPr>
        <w:spacing w:after="120" w:before="0"/>
      </w:pPr>
      <w:r>
        <w:rPr>
          <w:rFonts w:ascii="Aptos" w:cs="Aptos" w:eastAsia="Aptos" w:hAnsi="Aptos"/>
          <w:b w:val="0"/>
          <w:bCs w:val="false"/>
          <w:i w:val="0"/>
          <w:iCs w:val="false"/>
          <w:sz w:val="24"/>
          <w:szCs w:val="24"/>
        </w:rPr>
        <w:t>Privileged account: an account that can change system configuration, manage other accounts, or reach protected data beyond a standard user.</w:t>
      </w:r>
    </w:p>
    <w:p>
      <w:pPr>
        <w:spacing w:after="120" w:before="0"/>
      </w:pPr>
      <w:r>
        <w:rPr>
          <w:rFonts w:ascii="Aptos" w:cs="Aptos" w:eastAsia="Aptos" w:hAnsi="Aptos"/>
          <w:b w:val="0"/>
          <w:bCs w:val="false"/>
          <w:i w:val="0"/>
          <w:iCs w:val="false"/>
          <w:sz w:val="24"/>
          <w:szCs w:val="24"/>
        </w:rPr>
        <w:t>Service account: a non-human account used by an application or system process, including cloud-management accounts.</w:t>
      </w:r>
    </w:p>
    <w:p>
      <w:pPr>
        <w:spacing w:after="120" w:before="0"/>
      </w:pPr>
      <w:r>
        <w:rPr>
          <w:rFonts w:ascii="Aptos" w:cs="Aptos" w:eastAsia="Aptos" w:hAnsi="Aptos"/>
          <w:b w:val="0"/>
          <w:bCs w:val="false"/>
          <w:i w:val="0"/>
          <w:iCs w:val="false"/>
          <w:sz w:val="24"/>
          <w:szCs w:val="24"/>
        </w:rPr>
        <w:t>Temporary privilege elevation: time-limited elevated access granted for a specific task and set to expire automatically.</w:t>
      </w:r>
    </w:p>
    <w:p>
      <w:pPr>
        <w:pStyle w:val="Heading2"/>
        <w:spacing w:after="100" w:before="220"/>
      </w:pPr>
      <w:r>
        <w:rPr>
          <w:rFonts w:ascii="Aptos" w:cs="Aptos" w:eastAsia="Aptos" w:hAnsi="Aptos"/>
          <w:b/>
          <w:bCs/>
          <w:color w:val="1B3A5C"/>
          <w:sz w:val="26"/>
          <w:szCs w:val="26"/>
        </w:rPr>
        <w:t xml:space="preserve">4. Policy Statement</w:t>
      </w:r>
    </w:p>
    <w:p>
      <w:pPr>
        <w:pStyle w:val="ListParagraph"/>
        <w:numPr>
          <w:ilvl w:val="0"/>
          <w:numId w:val="300"/>
        </w:numPr>
        <w:spacing w:after="60"/>
      </w:pPr>
      <w:r>
        <w:rPr>
          <w:rFonts w:ascii="Aptos" w:cs="Aptos" w:eastAsia="Aptos" w:hAnsi="Aptos"/>
          <w:b w:val="0"/>
          <w:bCs w:val="false"/>
          <w:i w:val="0"/>
          <w:iCs w:val="false"/>
          <w:color w:val="000000"/>
          <w:sz w:val="24"/>
          <w:szCs w:val="24"/>
        </w:rPr>
        <w:t>The Agency shall grant privileged access only on approval, for a named business need, and at the least level required.</w:t>
      </w:r>
    </w:p>
    <w:p>
      <w:pPr>
        <w:pStyle w:val="ListParagraph"/>
        <w:numPr>
          <w:ilvl w:val="0"/>
          <w:numId w:val="300"/>
        </w:numPr>
        <w:spacing w:after="60"/>
      </w:pPr>
      <w:r>
        <w:rPr>
          <w:rFonts w:ascii="Aptos" w:cs="Aptos" w:eastAsia="Aptos" w:hAnsi="Aptos"/>
          <w:b w:val="0"/>
          <w:bCs w:val="false"/>
          <w:i w:val="0"/>
          <w:iCs w:val="false"/>
          <w:color w:val="000000"/>
          <w:sz w:val="24"/>
          <w:szCs w:val="24"/>
        </w:rPr>
        <w:t>Each privileged user shall hold a unique, individually attributable account; shared administrator credentials are not used except for break-glass accounts held under seal.</w:t>
      </w:r>
    </w:p>
    <w:p>
      <w:pPr>
        <w:pStyle w:val="ListParagraph"/>
        <w:numPr>
          <w:ilvl w:val="0"/>
          <w:numId w:val="300"/>
        </w:numPr>
        <w:spacing w:after="60"/>
      </w:pPr>
      <w:r>
        <w:rPr>
          <w:rFonts w:ascii="Aptos" w:cs="Aptos" w:eastAsia="Aptos" w:hAnsi="Aptos"/>
          <w:b w:val="0"/>
          <w:bCs w:val="false"/>
          <w:i w:val="0"/>
          <w:iCs w:val="false"/>
          <w:color w:val="000000"/>
          <w:sz w:val="24"/>
          <w:szCs w:val="24"/>
        </w:rPr>
        <w:t>Privileged accounts shall use stronger authentication than standard accounts, including multifactor authentication on administrative interfaces and remote access.</w:t>
      </w:r>
    </w:p>
    <w:p>
      <w:pPr>
        <w:pStyle w:val="ListParagraph"/>
        <w:numPr>
          <w:ilvl w:val="0"/>
          <w:numId w:val="300"/>
        </w:numPr>
        <w:spacing w:after="60"/>
      </w:pPr>
      <w:r>
        <w:rPr>
          <w:rFonts w:ascii="Aptos" w:cs="Aptos" w:eastAsia="Aptos" w:hAnsi="Aptos"/>
          <w:b w:val="0"/>
          <w:bCs w:val="false"/>
          <w:i w:val="0"/>
          <w:iCs w:val="false"/>
          <w:color w:val="000000"/>
          <w:sz w:val="24"/>
          <w:szCs w:val="24"/>
        </w:rPr>
        <w:t>Personnel are responsible for using privileged access only for the approved task and for acknowledging the enhanced conduct rules before access is granted.</w:t>
      </w:r>
    </w:p>
    <w:p>
      <w:pPr>
        <w:pStyle w:val="ListParagraph"/>
        <w:numPr>
          <w:ilvl w:val="0"/>
          <w:numId w:val="300"/>
        </w:numPr>
        <w:spacing w:after="60"/>
      </w:pPr>
      <w:r>
        <w:rPr>
          <w:rFonts w:ascii="Aptos" w:cs="Aptos" w:eastAsia="Aptos" w:hAnsi="Aptos"/>
          <w:b w:val="0"/>
          <w:bCs w:val="false"/>
          <w:i w:val="0"/>
          <w:iCs w:val="false"/>
          <w:color w:val="000000"/>
          <w:sz w:val="24"/>
          <w:szCs w:val="24"/>
        </w:rPr>
        <w:t>Privileged users shall complete specialized security training suited to their access before it is granted and on a recurring basis.</w:t>
      </w:r>
    </w:p>
    <w:p>
      <w:pPr>
        <w:pStyle w:val="ListParagraph"/>
        <w:numPr>
          <w:ilvl w:val="0"/>
          <w:numId w:val="300"/>
        </w:numPr>
        <w:spacing w:after="60"/>
      </w:pPr>
      <w:r>
        <w:rPr>
          <w:rFonts w:ascii="Aptos" w:cs="Aptos" w:eastAsia="Aptos" w:hAnsi="Aptos"/>
          <w:b w:val="0"/>
          <w:bCs w:val="false"/>
          <w:i w:val="0"/>
          <w:iCs w:val="false"/>
          <w:color w:val="000000"/>
          <w:sz w:val="24"/>
          <w:szCs w:val="24"/>
        </w:rPr>
        <w:t>The Agency shall record privileged sessions where technically feasible and review them for misuse or anomalous activity.</w:t>
      </w:r>
    </w:p>
    <w:p>
      <w:pPr>
        <w:pStyle w:val="ListParagraph"/>
        <w:numPr>
          <w:ilvl w:val="0"/>
          <w:numId w:val="300"/>
        </w:numPr>
        <w:spacing w:after="60"/>
      </w:pPr>
      <w:r>
        <w:rPr>
          <w:rFonts w:ascii="Aptos" w:cs="Aptos" w:eastAsia="Aptos" w:hAnsi="Aptos"/>
          <w:b w:val="0"/>
          <w:bCs w:val="false"/>
          <w:i w:val="0"/>
          <w:iCs w:val="false"/>
          <w:color w:val="000000"/>
          <w:sz w:val="24"/>
          <w:szCs w:val="24"/>
        </w:rPr>
        <w:t>The Agency shall review privileged rights on a set cadence and revoke access that is unused or no longer needed.</w:t>
      </w:r>
    </w:p>
    <w:p>
      <w:pPr>
        <w:pStyle w:val="ListParagraph"/>
        <w:numPr>
          <w:ilvl w:val="0"/>
          <w:numId w:val="300"/>
        </w:numPr>
        <w:spacing w:after="60"/>
      </w:pPr>
      <w:r>
        <w:rPr>
          <w:rFonts w:ascii="Aptos" w:cs="Aptos" w:eastAsia="Aptos" w:hAnsi="Aptos"/>
          <w:b w:val="0"/>
          <w:bCs w:val="false"/>
          <w:i w:val="0"/>
          <w:iCs w:val="false"/>
          <w:color w:val="000000"/>
          <w:sz w:val="24"/>
          <w:szCs w:val="24"/>
        </w:rPr>
        <w:t>Privileged access shall be removed promptly on role change or separation.</w:t>
      </w:r>
    </w:p>
    <w:p>
      <w:pPr>
        <w:pStyle w:val="ListParagraph"/>
        <w:spacing w:after="60"/>
      </w:pPr>
      <w:r>
        <w:rPr>
          <w:rFonts w:ascii="Aptos" w:cs="Aptos" w:eastAsia="Aptos" w:hAnsi="Aptos"/>
          <w:b/>
          <w:bCs w:val="false"/>
          <w:i w:val="0"/>
          <w:iCs w:val="false"/>
          <w:color w:val="1B3A5C"/>
          <w:sz w:val="24"/>
          <w:szCs w:val="24"/>
        </w:rPr>
        <w:t>Temporary Privilege Elevation</w:t>
      </w:r>
    </w:p>
    <w:p>
      <w:pPr>
        <w:pStyle w:val="ListParagraph"/>
        <w:numPr>
          <w:ilvl w:val="0"/>
          <w:numId w:val="300"/>
        </w:numPr>
        <w:spacing w:after="60"/>
      </w:pPr>
      <w:r>
        <w:rPr>
          <w:rFonts w:ascii="Aptos" w:cs="Aptos" w:eastAsia="Aptos" w:hAnsi="Aptos"/>
          <w:b w:val="0"/>
          <w:bCs w:val="false"/>
          <w:i w:val="0"/>
          <w:iCs w:val="false"/>
          <w:color w:val="000000"/>
          <w:sz w:val="24"/>
          <w:szCs w:val="24"/>
        </w:rPr>
        <w:t>Where a task needs access beyond a user’s standing rights, the elevation shall be requested and approved through the System Access Request &amp; Approval Forms, granted for a defined window, and set to expire automatically.</w:t>
      </w:r>
    </w:p>
    <w:p>
      <w:pPr>
        <w:pStyle w:val="ListParagraph"/>
        <w:numPr>
          <w:ilvl w:val="0"/>
          <w:numId w:val="300"/>
        </w:numPr>
        <w:spacing w:after="60"/>
      </w:pPr>
      <w:r>
        <w:rPr>
          <w:rFonts w:ascii="Aptos" w:cs="Aptos" w:eastAsia="Aptos" w:hAnsi="Aptos"/>
          <w:b w:val="0"/>
          <w:bCs w:val="false"/>
          <w:i w:val="0"/>
          <w:iCs w:val="false"/>
          <w:color w:val="000000"/>
          <w:sz w:val="24"/>
          <w:szCs w:val="24"/>
        </w:rPr>
        <w:t>Temporary elevations shall be logged and included in the periodic privileged-access review.</w:t>
      </w:r>
    </w:p>
    <w:p>
      <w:pPr>
        <w:pStyle w:val="Heading2"/>
        <w:spacing w:after="100" w:before="220"/>
      </w:pPr>
      <w:r>
        <w:rPr>
          <w:rFonts w:ascii="Aptos" w:cs="Aptos" w:eastAsia="Aptos" w:hAnsi="Aptos"/>
          <w:b/>
          <w:bCs/>
          <w:color w:val="1B3A5C"/>
          <w:sz w:val="26"/>
          <w:szCs w:val="26"/>
        </w:rPr>
        <w:t xml:space="preserve">5. Roles &amp;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Responsibility</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0"/>
                <w:iCs w:val="false"/>
                <w:sz w:val="24"/>
                <w:szCs w:val="24"/>
              </w:rPr>
              <w:t>Director / Coordinator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0"/>
                <w:iCs w:val="false"/>
                <w:sz w:val="24"/>
                <w:szCs w:val="24"/>
              </w:rPr>
              <w:t>Owns this policy; approves privileged-access grants and exceptions.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0"/>
                <w:iCs w:val="false"/>
                <w:sz w:val="24"/>
                <w:szCs w:val="24"/>
              </w:rPr>
              <w:t>IT support (county / vendor / in-house)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0"/>
                <w:iCs w:val="false"/>
                <w:sz w:val="24"/>
                <w:szCs w:val="24"/>
              </w:rPr>
              <w:t>Provisions, configures, and removes privileged access; maintains session recording and the account inventory.</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0"/>
                <w:iCs w:val="false"/>
                <w:sz w:val="24"/>
                <w:szCs w:val="24"/>
              </w:rPr>
              <w:t>Security Coordinator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0"/>
                <w:iCs w:val="false"/>
                <w:sz w:val="24"/>
                <w:szCs w:val="24"/>
              </w:rPr>
              <w:t>Reviews privileged rights and session records; reports misuse.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0"/>
                <w:iCs w:val="false"/>
                <w:sz w:val="24"/>
                <w:szCs w:val="24"/>
              </w:rPr>
              <w:t>All privileged users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0"/>
                <w:iCs w:val="false"/>
                <w:sz w:val="24"/>
                <w:szCs w:val="24"/>
              </w:rPr>
              <w:t>Follow the enhanced conduct rules; use elevated access only for the approved task.</w:t>
            </w:r>
          </w:p>
        </w:tc>
      </w:tr>
    </w:tbl>
    <w:p>
      <w:pPr>
        <w:pStyle w:val="Heading2"/>
        <w:spacing w:after="100" w:before="220"/>
      </w:pPr>
      <w:r>
        <w:rPr>
          <w:rFonts w:ascii="Aptos" w:cs="Aptos" w:eastAsia="Aptos" w:hAnsi="Aptos"/>
          <w:b/>
          <w:bCs/>
          <w:color w:val="1B3A5C"/>
          <w:sz w:val="26"/>
          <w:szCs w:val="26"/>
        </w:rPr>
        <w:t xml:space="preserve">6. Enforcement</w:t>
      </w:r>
    </w:p>
    <w:p>
      <w:pPr>
        <w:spacing w:after="120" w:before="0"/>
      </w:pPr>
      <w:r>
        <w:rPr>
          <w:rFonts w:ascii="Aptos" w:cs="Aptos" w:eastAsia="Aptos" w:hAnsi="Aptos"/>
          <w:b w:val="0"/>
          <w:bCs w:val="false"/>
          <w:i w:val="0"/>
          <w:iCs w:val="false"/>
          <w:sz w:val="24"/>
          <w:szCs w:val="24"/>
        </w:rPr>
        <w:t>Privileged access is monitored through session records and periodic review. Misuse is handled under the Agency’s corrective process and may trigger the Incident Response Plan.</w:t>
      </w:r>
    </w:p>
    <w:p>
      <w:pPr>
        <w:pStyle w:val="Heading2"/>
        <w:spacing w:after="100" w:before="220"/>
      </w:pPr>
      <w:r>
        <w:rPr>
          <w:rFonts w:ascii="Aptos" w:cs="Aptos" w:eastAsia="Aptos" w:hAnsi="Aptos"/>
          <w:b/>
          <w:bCs/>
          <w:color w:val="1B3A5C"/>
          <w:sz w:val="26"/>
          <w:szCs w:val="26"/>
        </w:rPr>
        <w:t xml:space="preserve">7. Exceptions</w:t>
      </w:r>
    </w:p>
    <w:p>
      <w:pPr>
        <w:spacing w:after="120" w:before="0"/>
      </w:pPr>
      <w:r>
        <w:rPr>
          <w:rFonts w:ascii="Aptos" w:cs="Aptos" w:eastAsia="Aptos" w:hAnsi="Aptos"/>
          <w:b w:val="0"/>
          <w:bCs w:val="false"/>
          <w:i w:val="0"/>
          <w:iCs w:val="false"/>
          <w:sz w:val="24"/>
          <w:szCs w:val="24"/>
        </w:rPr>
        <w:t>Exceptions require written approval from the Director, are recorded with a business justification and an expiry date, and are reviewed at each policy review.</w:t>
      </w:r>
    </w:p>
    <w:p>
      <w:pPr>
        <w:pStyle w:val="Heading2"/>
        <w:spacing w:after="100" w:before="220"/>
      </w:pPr>
      <w:r>
        <w:rPr>
          <w:rFonts w:ascii="Aptos" w:cs="Aptos" w:eastAsia="Aptos" w:hAnsi="Aptos"/>
          <w:b/>
          <w:bCs/>
          <w:color w:val="1B3A5C"/>
          <w:sz w:val="26"/>
          <w:szCs w:val="26"/>
        </w:rPr>
        <w:t xml:space="preserve">8. Review Schedule</w:t>
      </w:r>
    </w:p>
    <w:p>
      <w:pPr>
        <w:spacing w:after="120" w:before="0"/>
      </w:pPr>
      <w:r>
        <w:rPr>
          <w:rFonts w:ascii="Aptos" w:cs="Aptos" w:eastAsia="Aptos" w:hAnsi="Aptos"/>
          <w:b w:val="false"/>
          <w:bCs w:val="false"/>
          <w:i w:val="false"/>
          <w:iCs w:val="false"/>
          <w:sz w:val="24"/>
          <w:szCs w:val="24"/>
        </w:rPr>
        <w:t>This policy is reviewed at least annually and after a significant change to privileged systems or roles, by the Security Coordinator.</w:t>
      </w:r>
    </w:p>
    <w:p>
      <w:pPr>
        <w:pStyle w:val="Heading2"/>
        <w:spacing w:after="100" w:before="220"/>
      </w:pPr>
      <w:r>
        <w:rPr>
          <w:rFonts w:ascii="Aptos" w:cs="Aptos" w:eastAsia="Aptos" w:hAnsi="Aptos"/>
          <w:b/>
          <w:bCs/>
          <w:color w:val="1B3A5C"/>
          <w:sz w:val="26"/>
          <w:szCs w:val="26"/>
        </w:rPr>
        <w:t xml:space="preserve">Profile Scaling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Medium (6–25, shared county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0"/>
                <w:iCs w:val="false"/>
                <w:sz w:val="24"/>
                <w:szCs w:val="24"/>
              </w:rPr>
              <w:t>Shared county IT provisions privileged access on director approval, records it in the account inventory, and reviews it quarterly. Session recording is enabled where the tooling supports it.</w:t>
            </w:r>
          </w:p>
        </w:tc>
      </w:tr>
    </w:tbl>
    <w:p>
      <w:pPr>
        <w:pStyle w:val="Heading2"/>
        <w:spacing w:after="100" w:before="220"/>
      </w:pPr>
      <w:r>
        <w:rPr>
          <w:rFonts w:ascii="Aptos" w:cs="Aptos" w:eastAsia="Aptos" w:hAnsi="Aptos"/>
          <w:b/>
          <w:bCs/>
          <w:color w:val="1B3A5C"/>
          <w:sz w:val="26"/>
          <w:szCs w:val="26"/>
        </w:rPr>
        <w:t xml:space="preserve">CJIS Handling Addendum</w:t>
      </w:r>
    </w:p>
    <w:p>
      <w:pPr>
        <w:spacing w:after="120" w:before="0"/>
      </w:pPr>
      <w:r>
        <w:rPr>
          <w:rFonts w:ascii="Aptos" w:cs="Aptos" w:eastAsia="Aptos" w:hAnsi="Aptos"/>
          <w:b w:val="0"/>
          <w:bCs w:val="false"/>
          <w:i w:val="0"/>
          <w:iCs w:val="false"/>
          <w:sz w:val="24"/>
          <w:szCs w:val="24"/>
        </w:rPr>
        <w:t>CJIS Handling: This policy governs privileged access to systems containing CJIS-regulated data reached through IDACS. Apply CJIS Security Policy v5.9 §5.5 and §5.6 in addition to the controls above, and 240 IAC 5 where IDACS is in scope.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40" w:before="0"/>
            </w:pPr>
            <w:r>
              <w:rPr>
                <w:rFonts w:ascii="Aptos" w:cs="Aptos" w:eastAsia="Aptos" w:hAnsi="Aptos"/>
                <w:b w:val="0"/>
                <w:bCs w:val="false"/>
                <w:i w:val="0"/>
                <w:iCs w:val="false"/>
                <w:sz w:val="24"/>
                <w:szCs w:val="24"/>
              </w:rPr>
              <w:t>NENA-STA-040.2-2024: §6.2 (Access Control); §6.2.1 (Account Management); §6.5 (Rights &amp; Privileges)</w:t>
            </w:r>
          </w:p>
          <w:p>
            <w:pPr>
              <w:spacing w:after="40" w:before="0"/>
            </w:pPr>
            <w:r>
              <w:rPr>
                <w:rFonts w:ascii="Aptos" w:cs="Aptos" w:eastAsia="Aptos" w:hAnsi="Aptos"/>
                <w:b w:val="0"/>
                <w:bCs w:val="false"/>
                <w:i w:val="0"/>
                <w:iCs w:val="false"/>
                <w:sz w:val="24"/>
                <w:szCs w:val="24"/>
              </w:rPr>
              <w:t>NIST SP 800-53 Rev. 5: AC-2, AC-5, AC-6, AC-6(1), AC-6(2), AC-6(5), IA-2, IA-5</w:t>
            </w:r>
          </w:p>
          <w:p>
            <w:pPr>
              <w:spacing w:after="40" w:before="0"/>
            </w:pPr>
            <w:r>
              <w:rPr>
                <w:rFonts w:ascii="Aptos" w:cs="Aptos" w:eastAsia="Aptos" w:hAnsi="Aptos"/>
                <w:b w:val="0"/>
                <w:bCs w:val="false"/>
                <w:i w:val="0"/>
                <w:iCs w:val="false"/>
                <w:sz w:val="24"/>
                <w:szCs w:val="24"/>
              </w:rPr>
              <w:t>Indiana statutes and administrative code: 240 IAC 5</w:t>
            </w:r>
          </w:p>
          <w:p>
            <w:pPr>
              <w:spacing w:after="0" w:before="0"/>
            </w:pPr>
            <w:r>
              <w:rPr>
                <w:rFonts w:ascii="Aptos" w:cs="Aptos" w:eastAsia="Aptos" w:hAnsi="Aptos"/>
                <w:b w:val="0"/>
                <w:bCs w:val="false"/>
                <w:i w:val="0"/>
                <w:iCs w:val="false"/>
                <w:sz w:val="24"/>
                <w:szCs w:val="24"/>
              </w:rPr>
              <w:t>CJIS Security Policy v5.9: §5.5 (Access Control); §5.6 (Identification &amp; Authentication)</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Director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Anthony Reyes</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 Anthony Reyes</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2026-03-06</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Security Coordinator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Dana Mercer</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 Dana Mercer</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2026-03-06</w:t>
            </w: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2026-03-06</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Security Coordinator</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Initial issue</w:t>
            </w:r>
          </w:p>
        </w:tc>
      </w:tr>
    </w:tbl>
    <w:p>
      <w:pPr>
        <w:spacing w:after="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ptos" w:cs="Aptos" w:eastAsia="Aptos" w:hAnsi="Aptos"/>
        <w:color w:val="595959"/>
        <w:sz w:val="16"/>
        <w:szCs w:val="16"/>
      </w:rPr>
    </w:r>
    <w:r>
      <w:drawing>
        <wp:inline xmlns:a="http://schemas.openxmlformats.org/drawingml/2006/main" xmlns:pic="http://schemas.openxmlformats.org/drawingml/2006/picture">
          <wp:extent cx="777240" cy="777240"/>
          <wp:docPr id="1" name="Picture 1"/>
          <wp:cNvGraphicFramePr>
            <a:graphicFrameLocks noChangeAspect="1"/>
          </wp:cNvGraphicFramePr>
          <a:graphic>
            <a:graphicData uri="http://schemas.openxmlformats.org/drawingml/2006/picture">
              <pic:pic>
                <pic:nvPicPr>
                  <pic:cNvPr id="0" name="seal-wabash.png"/>
                  <pic:cNvPicPr/>
                </pic:nvPicPr>
                <pic:blipFill>
                  <a:blip r:embed="rId1"/>
                  <a:stretch>
                    <a:fillRect/>
                  </a:stretch>
                </pic:blipFill>
                <pic:spPr>
                  <a:xfrm>
                    <a:off x="0" y="0"/>
                    <a:ext cx="777240" cy="777240"/>
                  </a:xfrm>
                  <a:prstGeom prst="rect"/>
                </pic:spPr>
              </pic:pic>
            </a:graphicData>
          </a:graphic>
        </wp:inline>
      </w:drawing>
    </w:r>
  </w:p>
  <w:p>
    <w:pPr>
      <w:pBdr>
        <w:bottom w:val="single" w:color="1B3A5C" w:sz="6" w:space="2"/>
      </w:pBdr>
      <w:jc w:val="right"/>
    </w:pPr>
    <w:r>
      <w:rPr>
        <w:rFonts w:ascii="Aptos" w:cs="Aptos" w:eastAsia="Aptos" w:hAnsi="Aptos"/>
        <w:color w:val="595959"/>
        <w:sz w:val="16"/>
        <w:szCs w:val="16"/>
      </w:rPr>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300">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2026-06-01T15:29:11.401Z</dcterms:created>
  <dcterms:modified xsi:type="dcterms:W3CDTF">2026-06-01T15:29:11.401Z</dcterms:modified>
  <dc:title xmlns:dc="http://purl.org/dc/elements/1.1/">Privileged Access Management (PAM) Policy - EXAMPLE - M</dc:title>
</cp:coreProperties>
</file>

<file path=docProps/custom.xml><?xml version="1.0" encoding="utf-8"?>
<Properties xmlns="http://schemas.openxmlformats.org/officeDocument/2006/custom-properties" xmlns:vt="http://schemas.openxmlformats.org/officeDocument/2006/docPropsVTypes"/>
</file>