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false"/>
          <w:iCs w:val="false"/>
          <w:color w:val="1B3A5C"/>
          <w:sz w:val="40"/>
          <w:szCs w:val="40"/>
        </w:rPr>
        <w:t xml:space="preserve">Data Labeling Procedures</w:t>
      </w:r>
    </w:p>
    <w:p>
      <w:pPr>
        <w:spacing w:after="140"/>
      </w:pPr>
      <w:r>
        <w:rPr>
          <w:rFonts w:ascii="Aptos" w:cs="Aptos" w:eastAsia="Aptos" w:hAnsi="Aptos"/>
          <w:b w:val="false"/>
          <w:bCs w:val="false"/>
          <w:i/>
          <w:iCs/>
          <w:color w:val="595959"/>
          <w:sz w:val="24"/>
          <w:szCs w:val="24"/>
        </w:rPr>
        <w:t xml:space="preserve">Tri-River Regional 911 Center   ·   Worked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Adopted by Tri-River Regional 911 Center under the authority of Dr. Lisa Park, Director.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2026-06-01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2027-06-01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Information Security Analyst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Internal</w:t>
            </w:r>
          </w:p>
        </w:tc>
      </w:tr>
    </w:tbl>
    <w:p>
      <w:pPr>
        <w:pStyle w:val="Heading2"/>
      </w:pPr>
      <w:r>
        <w:t xml:space="preserve">1. Purpose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Apply and maintain classification labels on Tri-River Regional 911 Center data so that handling, access, retention, and disposal follow the data's sensitivity. Labels are applied when data is created or received and reviewed whenever data moves.</w:t>
      </w:r>
    </w:p>
    <w:p>
      <w:pPr>
        <w:pStyle w:val="Heading2"/>
      </w:pPr>
      <w:r>
        <w:t xml:space="preserve">2. Scope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Applies to: all personnel who create, receive, or move Agency data, including dispatchers, supervisors, administrative staff, IT team, and vendors with data access.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Covers: data created internally, data received from external parties, and data moved across departments or to partners, in any form (electronic, recorded audio, paper, removable media).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Excludes: transitory working notes with no retention value, which are discarded at end of use.</w:t>
      </w:r>
    </w:p>
    <w:p>
      <w:pPr>
        <w:pStyle w:val="Heading2"/>
      </w:pPr>
      <w:r>
        <w:t xml:space="preserve">3. Prerequisites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Classification levels defined in the Data Classification Policy: Internal, Restricted, and Confidential, with examples per level.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Labeling tools in use: tool-assisted document and email labeling, label-driven access groups, and centralized logging of access denials.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Personnel have completed the data-handling element of security awareness training.</w:t>
      </w:r>
    </w:p>
    <w:p>
      <w:pPr>
        <w:pStyle w:val="Heading2"/>
      </w:pPr>
      <w:r>
        <w:t xml:space="preserve">4. Procedure Steps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4.1  Default labels on new or internally created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On creating a document, record, or dataset, assign a classification label using the Data Classification Policy levels.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 owner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If the content fits more than one level, apply the higher level.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 owner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 the label visibly in the document, the file or folder name, or a physical label for paper and media.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Data owner</w:t>
            </w:r>
          </w:p>
        </w:tc>
      </w:tr>
    </w:tbl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4.2  Classifying external data on receipt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On receiving data from an external party, determine its classification using the Data Classification Policy.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Receiving staff member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If the sender supplied a label, map it to the Agency's levels and apply the Agency label.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Receiving staff member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If classification cannot be determined, default to Restricted until reviewed.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Receiving staff member</w:t>
            </w:r>
          </w:p>
        </w:tc>
      </w:tr>
    </w:tbl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4.3  Label review when data moves across departments or to partners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Before sending data to another department or an external partner, confirm the current label is still correct.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Receiving staff member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Re-label if combining or extracting data changes its sensitivity (for example, aggregating call records into a report).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Information Security Analyst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 the receiving party is authorized for that classification before releasing; record the transfer where required.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Information Security Analyst</w:t>
            </w:r>
          </w:p>
        </w:tc>
      </w:tr>
    </w:tbl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4"/>
          <w:szCs w:val="24"/>
        </w:rPr>
        <w:t xml:space="preserve">4.4  How labels drive system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Map each label to its handling rules: access permissions, encryption, storage location, transmission method, and retention.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IT team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Configure access so label-based permissions are enforced and access denials are logged.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IT team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Review label-to-control mappings on the policy review cycle and after system changes.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Information Security Analyst</w:t>
            </w:r>
          </w:p>
        </w:tc>
      </w:tr>
    </w:tbl>
    <w:p>
      <w:pPr>
        <w:pStyle w:val="Heading2"/>
      </w:pPr>
      <w:r>
        <w:t xml:space="preserve">5. Verification Criteria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New and received data carries a visible, correct label; spot checks find no unlabeled items.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Label-based access controls are in force and access denials are recorded, so an unauthorized attempt against a higher-classification item produces a logged denial. Reference: Data Access Monitoring Policy.</w:t>
      </w:r>
    </w:p>
    <w:p>
      <w:pPr>
        <w:pStyle w:val="Heading2"/>
      </w:pPr>
      <w:r>
        <w:t xml:space="preserve">6. Related Documents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Data Classification Policy; Data Access Monitoring Policy; Data Retention Schedule; Document Handling Standard; Data Inventory / Data Map.</w:t>
      </w:r>
    </w:p>
    <w:p>
      <w:pPr>
        <w:pStyle w:val="Heading2"/>
      </w:pPr>
      <w:r>
        <w:t xml:space="preserve">Profile Scaling Notes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Tri-River Regional 911 Center is a Large-profile PSAP (38 dispatchers, a dedicated IT team, a part-time information security analyst). Labeling is tool-assisted, label-driven access groups enforce permissions, and access denials are logged centrally and reviewed by the Information Security Analyst.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numerically. No padding.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NENA-STA-040.2-2024: §4.1.4.1, §4.2.2.1, §4.2.2.3, §4.2.2.4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NIST SP 800-53 Rev. 5: AC-3, AC-16, MP-3, RA-2</w:t>
            </w:r>
          </w:p>
        </w:tc>
      </w:tr>
    </w:tbl>
    <w:p>
      <w:pPr>
        <w:pStyle w:val="Heading2"/>
      </w:pPr>
      <w: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2026-06-01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2026-06-01</w:t>
            </w:r>
          </w:p>
        </w:tc>
      </w:tr>
    </w:tbl>
    <w:p>
      <w:pPr>
        <w:pStyle w:val="Heading2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2026-06-01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Initial issue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a3f537467aa9aa44e3edde6594d7bf545fb29a.png"/><Relationship Id="rId1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ca3f537467aa9aa44e3edde6594d7bf545fb29a.png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2026-06-04T20:32:00.525Z</dcterms:created>
  <dcterms:modified xsi:type="dcterms:W3CDTF">2026-06-04T20:32:00.525Z</dcterms:modified>
  <dc:title xmlns:dc="http://purl.org/dc/elements/1.1/">Data Labeling Procedures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