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Data Access Monitoring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Hickory County 911 under the authority of Tracy Holloway,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policy governs how the Agency records access to sensitive data and attempts to disclose it, so that every look at protected information can be traced to a person, a time, a source, and an action. The aim is to detect misuse early and to hold evidence an audit or investigation can rely on.</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and vendors who access sensitive data or grant access to it, and to every system that stores, displays, or transmits such data.</w:t>
      </w:r>
    </w:p>
    <w:p>
      <w:pPr>
        <w:pStyle w:val="ListParagraph"/>
        <w:numPr>
          <w:ilvl w:val="0"/>
          <w:numId w:val="2"/>
        </w:numPr>
        <w:spacing w:after="60"/>
      </w:pPr>
      <w:r>
        <w:rPr>
          <w:rFonts w:ascii="Aptos" w:cs="Aptos" w:eastAsia="Aptos" w:hAnsi="Aptos"/>
          <w:b w:val="0"/>
          <w:bCs w:val="false"/>
          <w:i w:val="false"/>
          <w:iCs w:val="false"/>
          <w:sz w:val="24"/>
          <w:szCs w:val="24"/>
        </w:rPr>
        <w:t>Covers: access to and attempted disclosure of sensitive data (caller and incident records, personal and medical information, and law-enforcement data reached through IDACS) across CAD, records, and related systems.</w:t>
      </w:r>
    </w:p>
    <w:p>
      <w:pPr>
        <w:pStyle w:val="ListParagraph"/>
        <w:numPr>
          <w:ilvl w:val="0"/>
          <w:numId w:val="2"/>
        </w:numPr>
        <w:spacing w:after="60"/>
      </w:pPr>
      <w:r>
        <w:rPr>
          <w:rFonts w:ascii="Aptos" w:cs="Aptos" w:eastAsia="Aptos" w:hAnsi="Aptos"/>
          <w:b w:val="0"/>
          <w:bCs w:val="false"/>
          <w:i w:val="false"/>
          <w:iCs w:val="false"/>
          <w:sz w:val="24"/>
          <w:szCs w:val="24"/>
        </w:rPr>
        <w:t>Excludes: general system, network, and security-event logging, governed by the Logging Policy, and the Sheriff’s Office records system run by Hickory County IT under a separate agreement.</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Sensitive data: data classified Restricted or Confidential under the Data Classification Policy, including personal, caller, medical, and law-enforcement information.</w:t>
      </w:r>
    </w:p>
    <w:p>
      <w:pPr>
        <w:spacing w:after="120" w:before="0"/>
      </w:pPr>
      <w:r>
        <w:rPr>
          <w:rFonts w:ascii="Aptos" w:cs="Aptos" w:eastAsia="Aptos" w:hAnsi="Aptos"/>
          <w:b w:val="0"/>
          <w:bCs w:val="false"/>
          <w:i w:val="false"/>
          <w:iCs w:val="false"/>
          <w:sz w:val="24"/>
          <w:szCs w:val="24"/>
        </w:rPr>
        <w:t>Data-access event: any read, query, export, print, or disclosure of sensitive data by a person or account.</w:t>
      </w:r>
    </w:p>
    <w:p>
      <w:pPr>
        <w:spacing w:after="120" w:before="0"/>
      </w:pPr>
      <w:r>
        <w:rPr>
          <w:rFonts w:ascii="Aptos" w:cs="Aptos" w:eastAsia="Aptos" w:hAnsi="Aptos"/>
          <w:b w:val="0"/>
          <w:bCs w:val="false"/>
          <w:i w:val="false"/>
          <w:iCs w:val="false"/>
          <w:sz w:val="24"/>
          <w:szCs w:val="24"/>
        </w:rPr>
        <w:t>Anomalous access: access that is denied, falls outside a user’s assigned role or normal pattern, or exceeds the clearance set by the data’s label.</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0"/>
          <w:bCs w:val="false"/>
          <w:i w:val="false"/>
          <w:iCs w:val="false"/>
          <w:sz w:val="24"/>
          <w:szCs w:val="24"/>
        </w:rPr>
        <w:t>The Agency shall log every access to and attempted disclosure of sensitive data, capturing at minimum the user or account, the date and time, the source device or location, the data or record reached, and the action taken.</w:t>
      </w:r>
    </w:p>
    <w:p>
      <w:pPr>
        <w:pStyle w:val="ListParagraph"/>
        <w:numPr>
          <w:ilvl w:val="0"/>
          <w:numId w:val="3"/>
        </w:numPr>
        <w:spacing w:after="60"/>
      </w:pPr>
      <w:r>
        <w:rPr>
          <w:rFonts w:ascii="Aptos" w:cs="Aptos" w:eastAsia="Aptos" w:hAnsi="Aptos"/>
          <w:b w:val="0"/>
          <w:bCs w:val="false"/>
          <w:i w:val="false"/>
          <w:iCs w:val="false"/>
          <w:sz w:val="24"/>
          <w:szCs w:val="24"/>
        </w:rPr>
        <w:t>Access controls shall enforce the classification label on the data; access that exceeds a user’s role or clearance is denied, and every denial is logged.</w:t>
      </w:r>
    </w:p>
    <w:p>
      <w:pPr>
        <w:pStyle w:val="ListParagraph"/>
        <w:numPr>
          <w:ilvl w:val="0"/>
          <w:numId w:val="3"/>
        </w:numPr>
        <w:spacing w:after="60"/>
      </w:pPr>
      <w:r>
        <w:rPr>
          <w:rFonts w:ascii="Aptos" w:cs="Aptos" w:eastAsia="Aptos" w:hAnsi="Aptos"/>
          <w:b w:val="0"/>
          <w:bCs w:val="false"/>
          <w:i w:val="false"/>
          <w:iCs w:val="false"/>
          <w:sz w:val="24"/>
          <w:szCs w:val="24"/>
        </w:rPr>
        <w:t>The Agency shall retain data-access logs for at least one year to support audit and investigation, and longer where CJIS or Indiana law requires.</w:t>
      </w:r>
    </w:p>
    <w:p>
      <w:pPr>
        <w:pStyle w:val="ListParagraph"/>
        <w:numPr>
          <w:ilvl w:val="0"/>
          <w:numId w:val="3"/>
        </w:numPr>
        <w:spacing w:after="60"/>
      </w:pPr>
      <w:r>
        <w:rPr>
          <w:rFonts w:ascii="Aptos" w:cs="Aptos" w:eastAsia="Aptos" w:hAnsi="Aptos"/>
          <w:b w:val="0"/>
          <w:bCs w:val="false"/>
          <w:i w:val="false"/>
          <w:iCs w:val="false"/>
          <w:sz w:val="24"/>
          <w:szCs w:val="24"/>
        </w:rPr>
        <w:t>The Director shall review data-access logs on a set cadence (monthly) for anomalous access and record that the review took place.</w:t>
      </w:r>
    </w:p>
    <w:p>
      <w:pPr>
        <w:pStyle w:val="ListParagraph"/>
        <w:numPr>
          <w:ilvl w:val="0"/>
          <w:numId w:val="3"/>
        </w:numPr>
        <w:spacing w:after="60"/>
      </w:pPr>
      <w:r>
        <w:rPr>
          <w:rFonts w:ascii="Aptos" w:cs="Aptos" w:eastAsia="Aptos" w:hAnsi="Aptos"/>
          <w:b w:val="0"/>
          <w:bCs w:val="false"/>
          <w:i w:val="false"/>
          <w:iCs w:val="false"/>
          <w:sz w:val="24"/>
          <w:szCs w:val="24"/>
        </w:rPr>
        <w:t>Anomalies and confirmed misuse are escalated and handled under the Incident Response Plan.</w:t>
      </w:r>
    </w:p>
    <w:p>
      <w:pPr>
        <w:pStyle w:val="ListParagraph"/>
        <w:numPr>
          <w:ilvl w:val="0"/>
          <w:numId w:val="3"/>
        </w:numPr>
        <w:spacing w:after="60"/>
      </w:pPr>
      <w:r>
        <w:rPr>
          <w:rFonts w:ascii="Aptos" w:cs="Aptos" w:eastAsia="Aptos" w:hAnsi="Aptos"/>
          <w:b w:val="0"/>
          <w:bCs w:val="false"/>
          <w:i w:val="false"/>
          <w:iCs w:val="false"/>
          <w:sz w:val="24"/>
          <w:szCs w:val="24"/>
        </w:rPr>
        <w:t>Data-access logs are protected against alteration and are readable only by authorized reviewers.</w:t>
      </w:r>
    </w:p>
    <w:p>
      <w:pPr>
        <w:pStyle w:val="ListParagraph"/>
        <w:numPr>
          <w:ilvl w:val="0"/>
          <w:numId w:val="3"/>
        </w:numPr>
        <w:spacing w:after="60"/>
      </w:pPr>
      <w:r>
        <w:rPr>
          <w:rFonts w:ascii="Aptos" w:cs="Aptos" w:eastAsia="Aptos" w:hAnsi="Aptos"/>
          <w:b w:val="0"/>
          <w:bCs w:val="false"/>
          <w:i w:val="false"/>
          <w:iCs w:val="false"/>
          <w:sz w:val="24"/>
          <w:szCs w:val="24"/>
        </w:rPr>
        <w:t>Access to sensitive data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reviews the data-access logs,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Hickory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Configures access logging and label-based enforcement, and protects logs against alteration.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Access only the data their role requires and report access that looks wrong.</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The Director monitors compliance. Access that bypasses logging or label controls is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Exceptions require written approval from the Director, must state the data affected and any compensating control, and expire after 90 days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Agency’s systems or data-handling practices,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Hickory County 911 adopts this as written. With no in-house IT, it relies on the access and audit logs the CAD and records systems already produce; the Director reviews them monthly and keeps a dated note. The county adds automated alerting as tooling allows.</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false"/>
          <w:iCs w:val="false"/>
          <w:sz w:val="24"/>
          <w:szCs w:val="24"/>
        </w:rPr>
        <w:t>CJIS Handling: Access to sensitive data carrying CJIS-regulated information, reached in Indiana through IDACS, is governed by the FBI CJIS Security Policy §5.4 (Auditing and Accountability) and §5.5 (Access Control) and 240 IAC 5 in addition to the controls above. For CJIS-specific handling rules, follow the CJIS Data Handling Addendum.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§4.2.2, §5.6, §5.6.1, §5.6.2</w:t>
            </w:r>
          </w:p>
          <w:p>
            <w:pPr>
              <w:spacing w:after="40" w:before="0"/>
            </w:pPr>
            <w:r>
              <w:rPr>
                <w:rFonts w:ascii="Aptos" w:hAnsi="Aptos"/>
                <w:b w:val="0"/>
                <w:sz w:val="24"/>
              </w:rPr>
              <w:t>NIST SP 800-53 Rev. 5: AC-3, AC-6, AC-16, AU-2, AU-3, AU-6, AU-9, AU-11, AU-12</w:t>
            </w:r>
          </w:p>
          <w:p>
            <w:pPr>
              <w:spacing w:after="40" w:before="0"/>
            </w:pPr>
            <w:r>
              <w:rPr>
                <w:rFonts w:ascii="Aptos" w:hAnsi="Aptos"/>
                <w:b w:val="0"/>
                <w:sz w:val="24"/>
              </w:rPr>
              <w:t>Indiana statutes and administrative code:</w:t>
            </w:r>
          </w:p>
          <w:p>
            <w:pPr>
              <w:spacing w:after="40" w:before="0"/>
            </w:pPr>
            <w:r>
              <w:rPr>
                <w:rFonts w:ascii="Aptos" w:hAnsi="Aptos"/>
                <w:b w:val="0"/>
                <w:sz w:val="24"/>
              </w:rPr>
              <w:t xml:space="preserve">    HEA 1169 (2021): Cyber Incident Reporting to IOT</w:t>
            </w:r>
          </w:p>
          <w:p>
            <w:pPr>
              <w:spacing w:after="0" w:before="0"/>
            </w:pPr>
            <w:r>
              <w:rPr>
                <w:rFonts w:ascii="Aptos" w:hAnsi="Aptos"/>
                <w:b w:val="0"/>
                <w:sz w:val="24"/>
              </w:rPr>
              <w:t xml:space="preserve">    IC 24-4.9: Data Breach Notification</w:t>
            </w:r>
          </w:p>
          <w:p>
            <w:r>
              <w:rPr>
                <w:rFonts w:ascii="Aptos" w:hAnsi="Aptos"/>
                <w:b w:val="0"/>
                <w:sz w:val="24"/>
              </w:rPr>
              <w:t xml:space="preserve">    240 IAC 5: IDACS Security (where IDACS is in scope)</w:t>
            </w:r>
          </w:p>
          <w:p>
            <w:r>
              <w:rPr>
                <w:rFonts w:ascii="Aptos" w:hAnsi="Aptos"/>
                <w:b w:val="0"/>
                <w:sz w:val="24"/>
              </w:rPr>
              <w:t>CJIS Security Policy v5.9: §5.4 (Auditing and Accountability),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Data Access Monitoring Policy - EXAMPLE - S</dc:title>
</cp:coreProperties>
</file>

<file path=docProps/custom.xml><?xml version="1.0" encoding="utf-8"?>
<Properties xmlns="http://schemas.openxmlformats.org/officeDocument/2006/custom-properties" xmlns:vt="http://schemas.openxmlformats.org/officeDocument/2006/docPropsVTypes"/>
</file>