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IDS/IPS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2027-03-05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Shared county IT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intrusion detection and prevention (IDS/IPS): what is deployed, how it is tuned, how signatures and rules are kept current, and how often integrity is checked. It implements the Network Monitoring Policy. Alerts route to the Alert Triage &amp; Escalation Procedure;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IDS/IPS at the county boundary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data center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AST-045</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Sensors deployed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IPS at the boundary; host monitoring on servers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Boundary and key segments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Prevention (boundary), detection (host)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 sensor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Signature / rule set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 ruleset tuned to ECC traffic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 on a cadence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Update management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 signature updates under change control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Change Management 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Integrity check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Monthly; verifies sensors run and are unaltered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Recorded in change history</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Signature update cadence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Network Monitoring Policy at least semi-annually by the Shared county IT; tuning changes, signature updates, and integrity-check results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records the IDS/IPS deployment and tuning, keeps signatures current on a cadence, and routes alerts to triage.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SI-4, SI-4(2), AU-6</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IDS/IPS Configuration Records - EXAMPLE - M</dc:title>
</cp:coreProperties>
</file>

<file path=docProps/custom.xml><?xml version="1.0" encoding="utf-8"?>
<Properties xmlns="http://schemas.openxmlformats.org/officeDocument/2006/custom-properties" xmlns:vt="http://schemas.openxmlformats.org/officeDocument/2006/docPropsVTypes"/>
</file>