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DNS Filtering Policy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Adopted by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Wabash Valley Communications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under the authority of </w:t>
            </w:r>
            <w:r>
              <w:rPr>
                <w:rFonts w:ascii="Aptos" w:cs="Aptos" w:eastAsia="Aptos" w:hAnsi="Aptos"/>
                <w:i w:val="false"/>
                <w:iCs w:val="false"/>
                <w:sz w:val="24"/>
                <w:szCs w:val="24"/>
              </w:rPr>
              <w:t xml:space="preserve">Anthony Reyes, Director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2027-03-05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   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Internal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Purpose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sets how the Agency uses protective DNS filtering to block access to malicious and disallowed destinations. It governs what is filtered and how exceptions are handled; the technical DNS configuration is documented separately.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Scope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Applies to: DNS resolution for all Agency devices and the personnel who manage the filtering service.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Covers: the categories of destinations blocked, how allow and deny requests are approved and recorded, and the review of filtering effectiveness.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Excludes: DNS service configuration and security (separation, DNSSEC, logging), held in the DNS Security Configuration Record; and DNS change governance, held in the Change Management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Definitions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Protective DNS: a resolver that blocks queries to known-malicious or disallowed domains.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Blocked category: a class of destinations (for example malware, phishing, or disallowed content) the Agency filters.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4. Policy Statement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resolve DNS through a protective filtering service that blocks known-malicious and disallowed destinations.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Agency shall define the categories it blocks and review them on a set cadence.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Requests to allow or deny a specific destination shall be approved by the Security Coordinator and recorded, with a stated reason.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Blocked-query events shall be logged and reviewed for signs of compromise, and confirmed threats are handled under the Incident Response Plan.</w:t>
      </w:r>
    </w:p>
    <w:p>
      <w:pPr>
        <w:pStyle w:val="ListParagraph"/>
        <w:numPr>
          <w:ilvl w:val="0"/>
          <w:numId w:val="300"/>
        </w:numPr>
        <w:spacing w:after="6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filtering service shall not be bypassed; devices that resolve DNS outside it are brought back into policy.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5. Roles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Responsibility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Owns this policy, approves the blocked-category set, and approves exceptions.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Operates the filtering service and applies approved allow and deny changes.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Reviews blocked-query activity and escalates suspected compromise.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All personnel</w:t>
            </w:r>
          </w:p>
        </w:tc>
        <w:tc>
          <w:tcPr>
            <w:tcW w:type="dxa" w:w="6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Use the Agency's DNS and report over-blocking or suspected bypass.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6. Enforcement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The Director monitors compliance. Devices that bypass protective DNS are corrected, and repeated violations are handled under the Agency's corrective-action process.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7. Exceptions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Exceptions require written approval from the Director, must state the destination and the reason, and expire after one year unless renewed.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8. Review Schedule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false"/>
          <w:iCs w:val="false"/>
          <w:sz w:val="24"/>
          <w:szCs w:val="24"/>
        </w:rPr>
        <w:t xml:space="preserve">This policy is reviewed at least annually and after any significant change to the Agency's DNS or filtering service, by the Security Coordinator.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false"/>
                <w:iCs w:val="false"/>
                <w:sz w:val="24"/>
                <w:szCs w:val="24"/>
              </w:rPr>
              <w:t xml:space="preserve">Shared county IT runs the filtering service, maintains the block categories and the allow and deny list, and reviews blocked-query activity with the security coordinator.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color w:val="1B3A5C"/>
                <w:sz w:val="24"/>
              </w:rPr>
              <w:t>Source Authority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NENA-STA-040.2-2024: §5.6.4 (Intrusion Monitoring and Detection)</w:t>
            </w:r>
          </w:p>
          <w:p>
            <w:pPr>
              <w:spacing w:after="140"/>
            </w:pPr>
            <w:r>
              <w:rPr>
                <w:rFonts w:ascii="Aptos" w:hAnsi="Aptos"/>
                <w:b w:val="0"/>
                <w:sz w:val="24"/>
              </w:rPr>
              <w:t xml:space="preserve">NIST SP 800-53 Rev. 5: SC-7, SC-20, SC-21, SI-4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Approval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Director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Anthony Reyes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/s/ Anthony Reyes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(on file)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2026-03-05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2026-03-05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drawing>
        <wp:inline xmlns:a="http://schemas.openxmlformats.org/drawingml/2006/main" xmlns:pic="http://schemas.openxmlformats.org/drawingml/2006/picture">
          <wp:extent cx="777240" cy="7772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M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" cy="777240"/>
                  </a:xfrm>
                  <a:prstGeom prst="rect"/>
                </pic:spPr>
              </pic:pic>
            </a:graphicData>
          </a:graphic>
        </wp:inline>
      </w:drawing>
    </w:r>
  </w:p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300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2026-06-01T15:29:11.401Z</dcterms:created>
  <dcterms:modified xsi:type="dcterms:W3CDTF">2026-06-01T15:29:11.401Z</dcterms:modified>
  <dc:title xmlns:dc="http://purl.org/dc/elements/1.1/">DNS Filtering Policy - EXAMPLE - 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