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Authentication Configuration Records (SPF/DKIM/DMARC)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email authentication for the Agency's domains: the SPF, DKIM, and DMARC records and the TLS settings, with the cadence on which they are audited. It implements the Email Security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Enterprise email (multiple domains)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with an on-prem 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AST-110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SPF record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v=spf1 ... -all, published per domain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 domain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DKIM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Per-domain selectors, 2048-bit, rotated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Signing enforced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DMARC policy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p=reject; aggregate and forensic reports monitored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Enforced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Enforced TLS; MTA-STS published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Inbound and outbound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DMARC policy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Reject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Audited at least quarterly by the IT team against the Email Security Policy; changes to the published records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SPF, DKIM, and DMARC are enforced with DMARC at reject, TLS required, and the authentication reports monitored; this record is the as-built evidence, reconciled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SC-8, SC-23,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Email Authentication Configuration Records (SPF/DKIM/DMARC)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