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Authentication Configuration Records (SPF/DKIM/DMARC)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email authentication for the Agency's domains: the SPF, DKIM, and DMARC records and the TLS settings, with the cadence on which they are audited. It implements the Email Security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 email (single domain)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AST-017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SPF record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v=spf1 include:mailprovider.example -all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Authorized senders only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DKIM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Provider selector, signing enabled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Provider-managed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DMARC policy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p=quarantine; reports to the director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Moving toward reject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Opportunistic TLS (provider default)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Inbound and outbound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DMARC policy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Quarantine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Audited at least annually by the County IT against the Email Security Policy; changes to the published records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 as written. For hosted email, publish an SPF record, enable DKIM signing, and set a DMARC policy (start at monitoring, then tighten). Record the values here and check them when the email service or domain changes.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SC-8, SC-23,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Email Authentication Configuration Records (SPF/DKIM/DMARC)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