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Anti-Phishing / Spam Filter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0"/>
                <w:iCs w:val="false"/>
                <w:sz w:val="24"/>
                <w:szCs w:val="24"/>
              </w:rPr>
              <w:t xml:space="preserve">Authority: </w:t>
            </w:r>
            <w:r>
              <w:rPr>
                <w:rFonts w:ascii="Aptos" w:cs="Aptos" w:eastAsia="Aptos" w:hAnsi="Aptos"/>
                <w:b w:val="0"/>
                <w:i w:val="0"/>
                <w:iCs w:val="false"/>
                <w:sz w:val="24"/>
                <w:szCs w:val="24"/>
              </w:rPr>
              <w:t xml:space="preserve">Adopted by Hickory County 911 under the authority of </w:t>
            </w:r>
            <w:r>
              <w:rPr>
                <w:rFonts w:ascii="Aptos" w:cs="Aptos" w:eastAsia="Aptos" w:hAnsi="Aptos"/>
                <w:b w:val="0"/>
                <w:i w:val="0"/>
                <w:iCs w:val="false"/>
                <w:sz w:val="24"/>
                <w:szCs w:val="24"/>
              </w:rPr>
              <w:t xml:space="preserve">Tracy Holloway, Director</w:t>
            </w:r>
            <w:r>
              <w:rPr>
                <w:rFonts w:ascii="Aptos" w:cs="Aptos" w:eastAsia="Aptos" w:hAnsi="Aptos"/>
                <w:b w:val="0"/>
                <w:i w:val="0"/>
                <w:iCs w:val="false"/>
                <w:sz w:val="24"/>
                <w:szCs w:val="24"/>
              </w:rPr>
              <w:t xml:space="preserve">.</w:t>
            </w:r>
          </w:p>
          <w:p>
            <w:pPr>
              <w:spacing w:after="60"/>
            </w:pPr>
            <w:r>
              <w:rPr>
                <w:rFonts w:ascii="Aptos" w:cs="Aptos" w:eastAsia="Aptos" w:hAnsi="Aptos"/>
                <w:b/>
                <w:bCs/>
                <w:i w:val="0"/>
                <w:iCs w:val="false"/>
                <w:sz w:val="24"/>
                <w:szCs w:val="24"/>
              </w:rPr>
              <w:t xml:space="preserve">Version: </w:t>
            </w:r>
            <w:r>
              <w:rPr>
                <w:rFonts w:ascii="Aptos" w:cs="Aptos" w:eastAsia="Aptos" w:hAnsi="Aptos"/>
                <w:b w:val="0"/>
                <w:bCs/>
                <w:i w:val="0"/>
                <w:iCs w:val="false"/>
                <w:sz w:val="24"/>
                <w:szCs w:val="24"/>
              </w:rPr>
              <w:t xml:space="preserve">1.0    </w:t>
            </w:r>
            <w:r>
              <w:rPr>
                <w:rFonts w:ascii="Aptos" w:cs="Aptos" w:eastAsia="Aptos" w:hAnsi="Aptos"/>
                <w:b/>
                <w:bCs/>
                <w:i w:val="0"/>
                <w:iCs w:val="false"/>
                <w:sz w:val="24"/>
                <w:szCs w:val="24"/>
              </w:rPr>
              <w:t xml:space="preserve">Effective Date: </w:t>
            </w:r>
            <w:r>
              <w:rPr>
                <w:rFonts w:ascii="Aptos" w:cs="Aptos" w:eastAsia="Aptos" w:hAnsi="Aptos"/>
                <w:b w:val="0"/>
                <w:bCs/>
                <w:i w:val="0"/>
                <w:iCs w:val="false"/>
                <w:sz w:val="24"/>
                <w:szCs w:val="24"/>
              </w:rPr>
              <w:t xml:space="preserve">2026-02-10    </w:t>
            </w:r>
            <w:r>
              <w:rPr>
                <w:rFonts w:ascii="Aptos" w:cs="Aptos" w:eastAsia="Aptos" w:hAnsi="Aptos"/>
                <w:b/>
                <w:bCs/>
                <w:i w:val="0"/>
                <w:iCs w:val="false"/>
                <w:sz w:val="24"/>
                <w:szCs w:val="24"/>
              </w:rPr>
              <w:t xml:space="preserve">Next Review: </w:t>
            </w:r>
            <w:r>
              <w:rPr>
                <w:rFonts w:ascii="Aptos" w:cs="Aptos" w:eastAsia="Aptos" w:hAnsi="Aptos"/>
                <w:b w:val="0"/>
                <w:bCs/>
                <w:i w:val="0"/>
                <w:iCs w:val="false"/>
                <w:sz w:val="24"/>
                <w:szCs w:val="24"/>
              </w:rPr>
              <w:t xml:space="preserve">2027-02-10</w:t>
            </w:r>
          </w:p>
          <w:p>
            <w:pPr>
              <w:spacing w:after="60"/>
            </w:pPr>
            <w:r>
              <w:rPr>
                <w:rFonts w:ascii="Aptos" w:cs="Aptos" w:eastAsia="Aptos" w:hAnsi="Aptos"/>
                <w:b/>
                <w:bCs/>
                <w:i w:val="0"/>
                <w:iCs w:val="false"/>
                <w:sz w:val="24"/>
                <w:szCs w:val="24"/>
              </w:rPr>
              <w:t xml:space="preserve">Owner: </w:t>
            </w:r>
            <w:r>
              <w:rPr>
                <w:rFonts w:ascii="Aptos" w:cs="Aptos" w:eastAsia="Aptos" w:hAnsi="Aptos"/>
                <w:b w:val="0"/>
                <w:bCs/>
                <w:i w:val="0"/>
                <w:iCs w:val="false"/>
                <w:sz w:val="24"/>
                <w:szCs w:val="24"/>
              </w:rPr>
              <w:t xml:space="preserve">County IT Support</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configuration of the Agency’s email filtering: the anti-spam and anti-phishing tooling, how inbound attachments and links are scanned or sandboxed, what happens to mail that is flagged, and how malicious mail raises an alert. It is evidence of compliance with the Email Security Policy, not the rule itself. Record settings as they are configured, not as they should be.</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Hosted email service with built-in mail filtering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Cloud / hosted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Support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AST-021</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Inbound scanning scope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Attachments and links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What inbound mail is inspected for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 sandboxing / detonation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Off (hosted service scans; no local detonation)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Suspicious attachments analyzed before delivery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Link protection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(hosted service)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Malicious-URL blocking on inbound links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 on detection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Quarantine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verdict: malware, phishing, spam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External-sender marking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banner applied to inbound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Outbound scanning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Malware and policy checks on outbound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Quarantine and release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releases; 30-day retention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Release restricted to approved, trained staff</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Alerting and monitoring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Service dashboard; director checks weekly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Alert Triage &amp; Escalation Procedure</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 sandboxing / detonation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(detonation)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Email Security Policy at least annually by the County IT Support; filter changes and new detection rules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central tooling to manage. Use the filtering built into the hosted mail service (spam and phishing protection, attachment scanning) and record which features are on. One person confirms the settings on a set cadence.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§5.6.4 (Intrusion Monitoring and Detection); §6.19 (Endpoint Security); §6.20 (Email)</w:t>
            </w:r>
          </w:p>
          <w:p>
            <w:pPr>
              <w:spacing w:after="40" w:before="0"/>
            </w:pPr>
            <w:r>
              <w:rPr>
                <w:rFonts w:ascii="Aptos" w:cs="Aptos" w:eastAsia="Aptos" w:hAnsi="Aptos"/>
                <w:b w:val="0"/>
                <w:bCs w:val="false"/>
                <w:i w:val="0"/>
                <w:iCs w:val="false"/>
                <w:sz w:val="24"/>
                <w:szCs w:val="24"/>
              </w:rPr>
              <w:t xml:space="preserve">NIST SP 800-53 Rev. 5: SC-7, SI-3, SI-4, SI-8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Support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2026-02-10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Support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Anti-Phishing / Spam Filter Configuration Records - EXAMPLE - S</dc:title>
</cp:coreProperties>
</file>

<file path=docProps/custom.xml><?xml version="1.0" encoding="utf-8"?>
<Properties xmlns="http://schemas.openxmlformats.org/officeDocument/2006/custom-properties" xmlns:vt="http://schemas.openxmlformats.org/officeDocument/2006/docPropsVTypes"/>
</file>