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Wireless Network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i w:val="0"/>
              </w:rPr>
              <w:t xml:space="preserve">Authority: </w:t>
            </w:r>
            <w:r>
              <w:rPr>
                <w:rFonts w:ascii="Aptos" w:cs="Aptos" w:eastAsia="Aptos" w:hAnsi="Aptos"/>
                <w:b w:val="0"/>
                <w:sz w:val="24"/>
                <w:szCs w:val="24"/>
                <w:i w:val="0"/>
              </w:rPr>
              <w:t xml:space="preserve">Adopted by Wabash Valley Communications under the authority of </w:t>
            </w:r>
            <w:r>
              <w:rPr>
                <w:rFonts w:ascii="Aptos" w:cs="Aptos" w:eastAsia="Aptos" w:hAnsi="Aptos"/>
                <w:b w:val="0"/>
                <w:sz w:val="24"/>
                <w:szCs w:val="24"/>
                <w:i w:val="0"/>
              </w:rPr>
              <w:t xml:space="preserve">Anthony Reyes, Director</w:t>
            </w:r>
            <w:r>
              <w:rPr>
                <w:rFonts w:ascii="Aptos" w:cs="Aptos" w:eastAsia="Aptos" w:hAnsi="Aptos"/>
                <w:b w:val="0"/>
                <w:sz w:val="24"/>
                <w:szCs w:val="24"/>
                <w:i w:val="0"/>
              </w:rPr>
              <w:t xml:space="preserve">.</w:t>
            </w:r>
          </w:p>
          <w:p>
            <w:pPr>
              <w:spacing w:after="60"/>
            </w:pPr>
            <w:r>
              <w:rPr>
                <w:rFonts w:ascii="Aptos" w:cs="Aptos" w:eastAsia="Aptos" w:hAnsi="Aptos"/>
                <w:b/>
                <w:bCs/>
                <w:sz w:val="24"/>
                <w:szCs w:val="24"/>
                <w:i w:val="0"/>
              </w:rPr>
              <w:t xml:space="preserve">Version: </w:t>
            </w:r>
            <w:r>
              <w:rPr>
                <w:rFonts w:ascii="Aptos" w:cs="Aptos" w:eastAsia="Aptos" w:hAnsi="Aptos"/>
                <w:b w:val="0"/>
                <w:bCs/>
                <w:sz w:val="24"/>
                <w:szCs w:val="24"/>
                <w:i w:val="0"/>
              </w:rPr>
              <w:t xml:space="preserve">1.0    </w:t>
            </w:r>
            <w:r>
              <w:rPr>
                <w:rFonts w:ascii="Aptos" w:cs="Aptos" w:eastAsia="Aptos" w:hAnsi="Aptos"/>
                <w:b/>
                <w:bCs/>
                <w:sz w:val="24"/>
                <w:szCs w:val="24"/>
                <w:i w:val="0"/>
              </w:rPr>
              <w:t xml:space="preserve">Effective Date: </w:t>
            </w:r>
            <w:r>
              <w:rPr>
                <w:rFonts w:ascii="Aptos" w:cs="Aptos" w:eastAsia="Aptos" w:hAnsi="Aptos"/>
                <w:b w:val="0"/>
                <w:bCs/>
                <w:sz w:val="24"/>
                <w:szCs w:val="24"/>
                <w:i w:val="0"/>
              </w:rPr>
              <w:t xml:space="preserve">2026-03-05    </w:t>
            </w:r>
            <w:r>
              <w:rPr>
                <w:rFonts w:ascii="Aptos" w:cs="Aptos" w:eastAsia="Aptos" w:hAnsi="Aptos"/>
                <w:b/>
                <w:bCs/>
                <w:sz w:val="24"/>
                <w:szCs w:val="24"/>
                <w:i w:val="0"/>
              </w:rPr>
              <w:t xml:space="preserve">Next Review: </w:t>
            </w:r>
            <w:r>
              <w:rPr>
                <w:rFonts w:ascii="Aptos" w:cs="Aptos" w:eastAsia="Aptos" w:hAnsi="Aptos"/>
                <w:b w:val="0"/>
                <w:bCs/>
                <w:sz w:val="24"/>
                <w:szCs w:val="24"/>
                <w:i w:val="0"/>
              </w:rPr>
              <w:t xml:space="preserve">2027-03-05</w:t>
            </w:r>
          </w:p>
          <w:p>
            <w:pPr>
              <w:spacing w:after="60"/>
            </w:pPr>
            <w:r>
              <w:rPr>
                <w:rFonts w:ascii="Aptos" w:cs="Aptos" w:eastAsia="Aptos" w:hAnsi="Aptos"/>
                <w:b/>
                <w:bCs/>
                <w:sz w:val="24"/>
                <w:szCs w:val="24"/>
                <w:i w:val="0"/>
              </w:rPr>
              <w:t xml:space="preserve">Owner: </w:t>
            </w:r>
            <w:r>
              <w:rPr>
                <w:rFonts w:ascii="Aptos" w:cs="Aptos" w:eastAsia="Aptos" w:hAnsi="Aptos"/>
                <w:b w:val="0"/>
                <w:bCs/>
                <w:sz w:val="24"/>
                <w:szCs w:val="24"/>
                <w:i w:val="0"/>
              </w:rPr>
              <w:t xml:space="preserve">Security Coordinator</w:t>
            </w:r>
          </w:p>
          <w:p>
            <w:pPr>
              <w:spacing w:after="60"/>
            </w:pPr>
            <w:r>
              <w:rPr>
                <w:rFonts w:ascii="Aptos" w:cs="Aptos" w:eastAsia="Aptos" w:hAnsi="Aptos"/>
                <w:b/>
                <w:bCs/>
                <w:sz w:val="24"/>
                <w:szCs w:val="24"/>
                <w:i w:val="0"/>
              </w:rPr>
              <w:t xml:space="preserve">Classification: </w:t>
            </w:r>
            <w:r>
              <w:rPr>
                <w:rFonts w:ascii="Aptos" w:cs="Aptos" w:eastAsia="Aptos" w:hAnsi="Aptos"/>
                <w:b w:val="0"/>
                <w:bCs/>
                <w:sz w:val="24"/>
                <w:szCs w:val="24"/>
                <w:i w:val="0"/>
              </w:rPr>
              <w:t xml:space="preserve">Internal</w:t>
            </w:r>
          </w:p>
        </w:tc>
      </w:tr>
    </w:tbl>
    <w:p>
      <w:pPr>
        <w:spacing w:after="60"/>
      </w:pPr>
    </w:p>
    <w:p>
      <w:pPr>
        <w:pStyle w:val="Heading2"/>
      </w:pPr>
      <w:r>
        <w:t xml:space="preserve">1. Purpose</w:t>
      </w:r>
    </w:p>
    <w:p>
      <w:pPr>
        <w:spacing w:after="120"/>
      </w:pPr>
      <w:r>
        <w:rPr>
          <w:rFonts w:ascii="Aptos" w:cs="Aptos" w:eastAsia="Aptos" w:hAnsi="Aptos"/>
          <w:sz w:val="24"/>
          <w:szCs w:val="24"/>
          <w:i w:val="0"/>
        </w:rPr>
        <w:t xml:space="preserve">This policy authorizes the Agency’s wireless networks and sets how they are secured. It defines the encryption floor, who may administer wireless, how guest and field-deployed links are separated from operational systems, and what devices are prohibited.</w:t>
      </w:r>
    </w:p>
    <w:p>
      <w:pPr>
        <w:pStyle w:val="Heading2"/>
      </w:pPr>
      <w:r>
        <w:t xml:space="preserve">2. Scope</w:t>
      </w:r>
    </w:p>
    <w:p>
      <w:pPr>
        <w:spacing w:after="60"/>
      </w:pPr>
      <w:r>
        <w:rPr>
          <w:rFonts w:ascii="Aptos" w:cs="Aptos" w:eastAsia="Aptos" w:hAnsi="Aptos"/>
          <w:b/>
          <w:bCs/>
          <w:sz w:val="24"/>
          <w:szCs w:val="24"/>
          <w:i w:val="0"/>
        </w:rPr>
        <w:t xml:space="preserve">Applies to: all Agency personnel, contractors, and vendors who deploy, administer, or connect to Agency wireless networks.</w:t>
      </w:r>
    </w:p>
    <w:p>
      <w:pPr>
        <w:spacing w:after="60"/>
      </w:pPr>
      <w:r>
        <w:rPr>
          <w:rFonts w:ascii="Aptos" w:cs="Aptos" w:eastAsia="Aptos" w:hAnsi="Aptos"/>
          <w:b/>
          <w:bCs/>
          <w:sz w:val="24"/>
          <w:szCs w:val="24"/>
          <w:i w:val="0"/>
        </w:rPr>
        <w:t xml:space="preserve">Covers: every Agency wireless network, including operational Wi-Fi, guest Wi-Fi, field-deployed links, and cellular connections used for emergency-services applications.</w:t>
      </w:r>
    </w:p>
    <w:p>
      <w:pPr>
        <w:spacing w:after="60"/>
      </w:pPr>
      <w:r>
        <w:rPr>
          <w:rFonts w:ascii="Aptos" w:cs="Aptos" w:eastAsia="Aptos" w:hAnsi="Aptos"/>
          <w:b/>
          <w:bCs/>
          <w:sz w:val="24"/>
          <w:szCs w:val="24"/>
          <w:i w:val="0"/>
        </w:rPr>
        <w:t xml:space="preserve">Excludes: wired network access, governed by the Access Control Policy; the deployed configuration values, recorded in the Wireless Network Inventory.</w:t>
      </w:r>
    </w:p>
    <w:p>
      <w:pPr>
        <w:pStyle w:val="Heading2"/>
      </w:pPr>
      <w:r>
        <w:t xml:space="preserve">3. Definitions</w:t>
      </w:r>
    </w:p>
    <w:p>
      <w:pPr>
        <w:spacing w:after="120"/>
      </w:pPr>
      <w:r>
        <w:rPr>
          <w:rFonts w:ascii="Aptos" w:cs="Aptos" w:eastAsia="Aptos" w:hAnsi="Aptos"/>
          <w:b/>
          <w:bCs/>
          <w:sz w:val="24"/>
          <w:szCs w:val="24"/>
          <w:i w:val="0"/>
        </w:rPr>
        <w:t xml:space="preserve">Wireless network: any Agency network reached over Wi-Fi, radio, or cellular, including field-deployed and portable links.</w:t>
      </w:r>
    </w:p>
    <w:p>
      <w:pPr>
        <w:spacing w:after="120"/>
      </w:pPr>
      <w:r>
        <w:rPr>
          <w:rFonts w:ascii="Aptos" w:cs="Aptos" w:eastAsia="Aptos" w:hAnsi="Aptos"/>
          <w:b/>
          <w:bCs/>
          <w:sz w:val="24"/>
          <w:szCs w:val="24"/>
          <w:i w:val="0"/>
        </w:rPr>
        <w:t xml:space="preserve">Guest network: a wireless network for visitors that is isolated from Agency operational systems.</w:t>
      </w:r>
    </w:p>
    <w:p>
      <w:pPr>
        <w:pStyle w:val="Heading2"/>
      </w:pPr>
      <w:r>
        <w:t xml:space="preserve">4. Policy Statement</w:t>
      </w:r>
    </w:p>
    <w:p>
      <w:pPr>
        <w:pStyle w:val="ListParagraph"/>
        <w:numPr>
          <w:ilvl w:val="0"/>
          <w:numId w:val="300"/>
        </w:numPr>
        <w:spacing w:after="60"/>
      </w:pPr>
      <w:r>
        <w:rPr>
          <w:rFonts w:ascii="Aptos" w:cs="Aptos" w:eastAsia="Aptos" w:hAnsi="Aptos"/>
          <w:sz w:val="24"/>
          <w:szCs w:val="24"/>
          <w:i w:val="0"/>
        </w:rPr>
        <w:t xml:space="preserve">All wireless networks are authorized in writing before deployment; unauthorized or rogue access points are prohibited and removed when found.</w:t>
      </w:r>
    </w:p>
    <w:p>
      <w:pPr>
        <w:pStyle w:val="ListParagraph"/>
        <w:numPr>
          <w:ilvl w:val="0"/>
          <w:numId w:val="300"/>
        </w:numPr>
        <w:spacing w:after="60"/>
      </w:pPr>
      <w:r>
        <w:rPr>
          <w:rFonts w:ascii="Aptos" w:cs="Aptos" w:eastAsia="Aptos" w:hAnsi="Aptos"/>
          <w:sz w:val="24"/>
          <w:szCs w:val="24"/>
          <w:i w:val="0"/>
        </w:rPr>
        <w:t xml:space="preserve">Wireless networks use strong encryption and authentication, at minimum WPA2-Enterprise and WPA3 where supported, with certificates or strong credentials.</w:t>
      </w:r>
    </w:p>
    <w:p>
      <w:pPr>
        <w:pStyle w:val="ListParagraph"/>
        <w:numPr>
          <w:ilvl w:val="0"/>
          <w:numId w:val="300"/>
        </w:numPr>
        <w:spacing w:after="60"/>
      </w:pPr>
      <w:r>
        <w:rPr>
          <w:rFonts w:ascii="Aptos" w:cs="Aptos" w:eastAsia="Aptos" w:hAnsi="Aptos"/>
          <w:sz w:val="24"/>
          <w:szCs w:val="24"/>
          <w:i w:val="0"/>
        </w:rPr>
        <w:t xml:space="preserve">Guest and public wireless is separated from Agency operational networks and gives no access to emergency systems or CJIS-regulated data.</w:t>
      </w:r>
    </w:p>
    <w:p>
      <w:pPr>
        <w:pStyle w:val="ListParagraph"/>
        <w:numPr>
          <w:ilvl w:val="0"/>
          <w:numId w:val="300"/>
        </w:numPr>
        <w:spacing w:after="60"/>
      </w:pPr>
      <w:r>
        <w:rPr>
          <w:rFonts w:ascii="Aptos" w:cs="Aptos" w:eastAsia="Aptos" w:hAnsi="Aptos"/>
          <w:sz w:val="24"/>
          <w:szCs w:val="24"/>
          <w:i w:val="0"/>
        </w:rPr>
        <w:t xml:space="preserve">Wireless and field-deployed links are kept separate from real-time call-handling systems and are monitored for unusual activity.</w:t>
      </w:r>
    </w:p>
    <w:p>
      <w:pPr>
        <w:pStyle w:val="ListParagraph"/>
        <w:numPr>
          <w:ilvl w:val="0"/>
          <w:numId w:val="300"/>
        </w:numPr>
        <w:spacing w:after="60"/>
      </w:pPr>
      <w:r>
        <w:rPr>
          <w:rFonts w:ascii="Aptos" w:cs="Aptos" w:eastAsia="Aptos" w:hAnsi="Aptos"/>
          <w:sz w:val="24"/>
          <w:szCs w:val="24"/>
          <w:i w:val="0"/>
        </w:rPr>
        <w:t xml:space="preserve">Only trained, authorized staff administer wireless networks and access points.</w:t>
      </w:r>
    </w:p>
    <w:p>
      <w:pPr>
        <w:pStyle w:val="ListParagraph"/>
        <w:numPr>
          <w:ilvl w:val="0"/>
          <w:numId w:val="300"/>
        </w:numPr>
        <w:spacing w:after="60"/>
      </w:pPr>
      <w:r>
        <w:rPr>
          <w:rFonts w:ascii="Aptos" w:cs="Aptos" w:eastAsia="Aptos" w:hAnsi="Aptos"/>
          <w:sz w:val="24"/>
          <w:szCs w:val="24"/>
          <w:i w:val="0"/>
        </w:rPr>
        <w:t xml:space="preserve">Prohibited devices, including personal or rogue access points, are not connected to Agency networks.</w:t>
      </w:r>
    </w:p>
    <w:p>
      <w:pPr>
        <w:pStyle w:val="ListParagraph"/>
        <w:numPr>
          <w:ilvl w:val="0"/>
          <w:numId w:val="300"/>
        </w:numPr>
        <w:spacing w:after="60"/>
      </w:pPr>
      <w:r>
        <w:rPr>
          <w:rFonts w:ascii="Aptos" w:cs="Aptos" w:eastAsia="Aptos" w:hAnsi="Aptos"/>
          <w:sz w:val="24"/>
          <w:szCs w:val="24"/>
          <w:i w:val="0"/>
        </w:rPr>
        <w:t xml:space="preserve">Deployed access points, SSIDs, network segments, and their hardened configuration baselines are recorded in the Wireless Network Inventory.</w:t>
      </w:r>
    </w:p>
    <w:p>
      <w:pPr>
        <w:pStyle w:val="ListParagraph"/>
        <w:numPr>
          <w:ilvl w:val="0"/>
          <w:numId w:val="300"/>
        </w:numPr>
        <w:spacing w:after="60"/>
      </w:pPr>
      <w:r>
        <w:rPr>
          <w:rFonts w:ascii="Aptos" w:cs="Aptos" w:eastAsia="Aptos" w:hAnsi="Aptos"/>
          <w:sz w:val="24"/>
          <w:szCs w:val="24"/>
          <w:i w:val="0"/>
        </w:rPr>
        <w:t xml:space="preserve">Cellular access to emergency-services applications is governed in addition by the Cellular / Mobile Device Security Standards.</w:t>
      </w:r>
    </w:p>
    <w:p>
      <w:pPr>
        <w:pStyle w:val="ListParagraph"/>
        <w:numPr>
          <w:ilvl w:val="0"/>
          <w:numId w:val="300"/>
        </w:numPr>
        <w:spacing w:after="60"/>
      </w:pPr>
      <w:r>
        <w:rPr>
          <w:rFonts w:ascii="Aptos" w:cs="Aptos" w:eastAsia="Aptos" w:hAnsi="Aptos"/>
          <w:sz w:val="24"/>
          <w:szCs w:val="24"/>
          <w:i w:val="0"/>
        </w:rPr>
        <w:t xml:space="preserve">Wireless controls for systems reached through IDACS are governed in addition by the CJIS Handling Addendum below.</w:t>
      </w:r>
    </w:p>
    <w:p>
      <w:pPr>
        <w:pStyle w:val="Heading2"/>
      </w:pPr>
      <w: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Owns this policy; authorizes wireless networks and approves who may administer them.</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Configures encryption, authentication, and segmentation; maintains hardened access-point baselines and detects rogue access points.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Dispatch 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Reports wireless problems and any device connected without authorization.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Connect only to authorized networks; do not attach personal or unapproved access points.</w:t>
            </w:r>
          </w:p>
        </w:tc>
      </w:tr>
    </w:tbl>
    <w:p>
      <w:pPr>
        <w:pStyle w:val="Heading2"/>
      </w:pPr>
      <w:r>
        <w:t xml:space="preserve">6. Enforcement</w:t>
      </w:r>
    </w:p>
    <w:p>
      <w:pPr>
        <w:spacing w:after="120"/>
      </w:pPr>
      <w:r>
        <w:rPr>
          <w:rFonts w:ascii="Aptos" w:cs="Aptos" w:eastAsia="Aptos" w:hAnsi="Aptos"/>
          <w:sz w:val="24"/>
          <w:szCs w:val="24"/>
          <w:i w:val="0"/>
        </w:rPr>
        <w:t xml:space="preserve">The Director monitors compliance. Unauthorized or rogue access points are removed, wireless configurations are audited on a defined cycle, and repeated violations are handled under the Agency’s corrective-action process.</w:t>
      </w:r>
    </w:p>
    <w:p>
      <w:pPr>
        <w:pStyle w:val="Heading2"/>
      </w:pPr>
      <w:r>
        <w:t xml:space="preserve">7. Exceptions</w:t>
      </w:r>
    </w:p>
    <w:p>
      <w:pPr>
        <w:spacing w:after="120"/>
      </w:pPr>
      <w:r>
        <w:rPr>
          <w:rFonts w:ascii="Aptos" w:cs="Aptos" w:eastAsia="Aptos" w:hAnsi="Aptos"/>
          <w:sz w:val="24"/>
          <w:szCs w:val="24"/>
          <w:i w:val="0"/>
        </w:rPr>
        <w:t xml:space="preserve">Exceptions require written approval from the Director, must state the network affected and any compensating control, and expire after 12 months unless renewed.</w:t>
      </w:r>
    </w:p>
    <w:p>
      <w:pPr>
        <w:pStyle w:val="Heading2"/>
      </w:pPr>
      <w:r>
        <w:t xml:space="preserve">8. Review Schedule</w:t>
      </w:r>
    </w:p>
    <w:p>
      <w:pPr>
        <w:spacing w:after="120"/>
      </w:pPr>
      <w:r>
        <w:rPr>
          <w:rFonts w:ascii="Aptos" w:cs="Aptos" w:eastAsia="Aptos" w:hAnsi="Aptos"/>
          <w:sz w:val="24"/>
          <w:szCs w:val="24"/>
          <w:i w:val="0"/>
        </w:rPr>
        <w:t xml:space="preserve">This policy is reviewed at least annually and after any significant change to the Agency’s wireless or cellular technology, by the Security Coordinator.</w:t>
      </w:r>
    </w:p>
    <w:p>
      <w:pPr>
        <w:pStyle w:val="Heading2"/>
      </w:pPr>
      <w: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Medium (6–25, 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Shared county IT authorizes each SSID, enforces WPA2-Enterprise or WPA3 with certificates, separates guest and field links, and audits access-point configurations on a set cadence.</w:t>
            </w:r>
          </w:p>
        </w:tc>
      </w:tr>
    </w:tbl>
    <w:p>
      <w:pPr>
        <w:pStyle w:val="Heading2"/>
      </w:pPr>
      <w:r>
        <w:t xml:space="preserve">CJIS Handling Addendum</w:t>
      </w:r>
    </w:p>
    <w:p>
      <w:pPr>
        <w:spacing w:after="120"/>
      </w:pPr>
      <w:r>
        <w:rPr>
          <w:rFonts w:ascii="Aptos" w:cs="Aptos" w:eastAsia="Aptos" w:hAnsi="Aptos"/>
          <w:sz w:val="24"/>
          <w:szCs w:val="24"/>
          <w:i w:val="0"/>
        </w:rPr>
        <w:t xml:space="preserve">CJIS Handling: Where a wireless or cellular link carries CJIS-regulated data, in Indiana reached through IDACS, apply the FBI CJIS Security Policy §5.13 (Mobile Devices) in addition to the controls above. Delete this section if no wireless or cellular link in scope carries CJIS-regulated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§6.6 (Inactive Sessions); §6.7.1 (Remote Access Device Security); §6.17 (Remote Access)</w:t>
            </w:r>
          </w:p>
          <w:p>
            <w:pPr>
              <w:spacing w:after="40"/>
            </w:pPr>
            <w:r>
              <w:rPr>
                <w:rFonts w:ascii="Aptos" w:cs="Aptos" w:eastAsia="Aptos" w:hAnsi="Aptos"/>
                <w:sz w:val="24"/>
                <w:szCs w:val="24"/>
                <w:b w:val="0"/>
                <w:i w:val="0"/>
              </w:rPr>
              <w:t xml:space="preserve">NENA-STA-040.2-2024: §6.3.2 (Wi-Fi); §6.3.3 (Other Wireless); §6.9 (Segmentation); §6.16 (Traffic Separation)</w:t>
            </w:r>
          </w:p>
          <w:p>
            <w:pPr>
              <w:spacing w:after="40"/>
            </w:pPr>
            <w:r>
              <w:rPr>
                <w:rFonts w:ascii="Aptos" w:cs="Aptos" w:eastAsia="Aptos" w:hAnsi="Aptos"/>
                <w:sz w:val="24"/>
                <w:szCs w:val="24"/>
                <w:b w:val="0"/>
                <w:i w:val="0"/>
              </w:rPr>
              <w:t xml:space="preserve">NIST SP 800-53 Rev. 5: AC-18, CM-7, SC-8, SC-40</w:t>
            </w:r>
          </w:p>
          <w:p>
            <w:pPr>
              <w:spacing w:after="40"/>
            </w:pPr>
            <w:r>
              <w:rPr>
                <w:rFonts w:ascii="Aptos" w:cs="Aptos" w:eastAsia="Aptos" w:hAnsi="Aptos"/>
                <w:sz w:val="24"/>
                <w:szCs w:val="24"/>
                <w:b w:val="0"/>
                <w:i w:val="0"/>
              </w:rPr>
              <w:t xml:space="preserve">CJIS Security Policy v5.9: §5.13 (Mobile Devices; where wireless or cellular links carry CJIS-regulated data, via IDACS)</w:t>
            </w:r>
          </w:p>
        </w:tc>
      </w:tr>
    </w:tbl>
    <w:p>
      <w:pPr>
        <w:pStyle w:val="Heading2"/>
      </w:pPr>
      <w: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Anthony Reyes</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Anthony Reyes</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2026-03-05</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Security Coordinator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t>2026-03-05</w:t>
            </w: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2026-03-05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Security Coordinator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t xml:space="preserve"/>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wabash.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Wireless Network Policy - EXAMPLE - M</dc:title>
</cp:coreProperties>
</file>

<file path=docProps/custom.xml><?xml version="1.0" encoding="utf-8"?>
<Properties xmlns="http://schemas.openxmlformats.org/officeDocument/2006/custom-properties" xmlns:vt="http://schemas.openxmlformats.org/officeDocument/2006/docPropsVTypes"/>
</file>