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VPN / Remote Access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Tri-River Regional 911 Center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Dr. Lisa Park, Executive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configuration of the Agency’s remote access: the approved connection tools, how remote sessions authenticate, the split-tunneling stance, the session controls, and how remote-access activity is logged and monitored. It is evidence of compliance with the Remote Access Policy, not the rule itself. Record one record per remote-access method, and record settings as they are configured, not as they should be.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Enterprise VPN / zero-trust gateway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Cloud gateway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AST-114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Approved client and gateway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Enterprise VPN / zero-trust gateway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only remote-access path in use for this method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Authentication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and device certificate; key-based SSH for admin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required for every remote session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Split-tunneling stance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Traffic handling during a remote session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Device posture / attestation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Device attestation before connect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Patch, endpoint protection, disk encryption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Idle timeout and disconnect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 min idle; drop on VPN loss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lock and termination behavior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logging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Sessions logged to the SIEM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Attempts, sessions, and failures logged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monitoring and retention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Reviewed in the Log Review Records; 180-day retention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Reviewed in the Log Review Records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retention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180 days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Validated against the Remote Access Policy at least quarterly by the Information Security Analyst; changes to approved clients, ciphers, timeout values, and split-tunneling rules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 enterprise remote-access or zero-trust gateway enforces MFA, device attestation, and split-tunnel rules, with session logs feeding the SIEM and reviewed in the Log Review Records. Each method has its own record.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§6.6 (Inactive Sessions); §6.7.1 (Remote Access Device Security); §6.17 (Remote Access)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AC-11, AC-12, AC-17, IA-2, SC-8, SC-10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Indiana statutes and administrative code: 240 IAC 5 (IDACS Security, where IDACS is in scope)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CJIS Security Policy v5.9: §5.5.6 (Remote Access; CJIS-regulated systems reached remotely,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VPN / Remote Access Configuration Records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