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VPN / Remote Access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Hickory County 911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Tracy Holloway,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County IT support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configuration of the Agency’s remote access: the approved connection tools, how remote sessions authenticate, the split-tunneling stance, the session controls, and how remote-access activity is logged and monitored. It is evidence of compliance with the Remote Access Policy, not the rule itself. Record one record per remote-access method, and record settings as they are configured, not as they should be.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Staff VPN (hosted / ISP-provided)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Hosted gateway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support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AST-022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Approved client and gateway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Hosted VPN client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only remote-access path in use for this method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Authentication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(app-based)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required for every remote session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Split-tunneling stance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Disabled (full tunnel)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Traffic handling during a remote session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Device posture / attestation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Basic check at logon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Patch, endpoint protection, disk encryption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Idle timeout and disconnect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30 min idle; drop on VPN loss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lock and termination behavior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logging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VPN logs kept by the provider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Attempts, sessions, and failures logged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monitoring and retention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reviews monthly; 90-day retention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Reviewed in the Log Review Records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Device posture / attestation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Full posture check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Validated against the Remote Access Policy at least annually by the County IT support; changes to approved clients, ciphers, timeout values, and split-tunneling rules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approved remote method, usually the hosted VPN or virtual desktop built into the Agency’s platform, with MFA on. Record the client, the MFA method, and the idle-timeout, and confirm vendor sessions are supervised.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§6.6 (Inactive Sessions); §6.7.1 (Remote Access Device Security); §6.17 (Remote Access)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AC-11, AC-12, AC-17, IA-2, SC-8, SC-10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Indiana statutes and administrative code: 240 IAC 5 (IDACS Security, where IDACS is in scope)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CJIS Security Policy v5.9: §5.5.6 (Remote Access; CJIS-regulated systems reached remotely,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support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support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VPN / Remote Access Configuration Records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