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sz w:val="40"/>
          <w:szCs w:val="40"/>
        </w:rPr>
        <w:t xml:space="preserve">Endpoint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Wabash Valley Communications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the Wabash Valley Communications Governing Board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February 16, 2026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February 16,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Security Coordinator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February 20, 2026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Device class: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Email server      </w:t>
            </w: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Asset ID: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MAIL-01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sz w:val="24"/>
                <w:szCs w:val="24"/>
              </w:rPr>
              <w:t xml:space="preserve">System / device: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On-prem email gateway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sz w:val="26"/>
          <w:szCs w:val="26"/>
        </w:rPr>
        <w:t xml:space="preserve">1. Hardening Checklist</w:t>
      </w:r>
    </w:p>
    <w:p>
      <w:pPr>
        <w:spacing w:after="140"/>
      </w:pPr>
      <w:r>
        <w:rPr>
          <w:rFonts w:ascii="Aptos" w:hAnsi="Aptos" w:cs="Aptos"/>
          <w:sz w:val="24"/>
          <w:szCs w:val="24"/>
        </w:rPr>
        <w:t xml:space="preserve">Every device completes Band 1A. Email servers also complete Band 1B. VoIP, SIP/RTP, and multimedia-ingestion servers also complete Band 1C. Items in a band that does not apply are marked NA.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1A. General Endpoint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Unnecessary services, ports, and protocols are disabled (least functionality).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Only mail services enabled; other ports closed.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Default and sample accounts are removed or disabled, and default passwords are changed.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 default accounts; administration via named accounts.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Anti-malware or EDR is installed, running, and current (recorded in the Endpoint Security Software Inventory).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Vendor B EDR agent installed and current.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host firewall is enabled and set to the approved baseline.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Host firewall on, mail-server baseline.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screen locks after 15 minutes of inactivity and requires re-authentication.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Console lock 15 minutes; admin via jump host.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operating system and applications are patched to the current approved level.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Patched to current on the monthly cycle.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Full-disk encryption is enabled on devices that hold or access sensitive data.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Volume encryption enabled.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Automatic script and macro execution is restricted (for example, blocked Office macros, no removable-media autorun).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Script execution restricted.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The configuration matches the System Configuration Baselines for this device type.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Matches the mail-server baseline.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1B. Email-Server Hardening (email servers and gateways)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SPF is published and enforced for the Agency’s sending domains.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SPF published with hard fail.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DKIM signing is enabled and the keys are valid.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DKIM signing on; keys valid.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DMARC is published with an enforcing policy (quarantine or reject).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DMARC published, p=quarantine.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TLS is required for inbound and outbound mail transport.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TLS required for inbound and outbound mail.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Open relay is disabled and authentication is required to send.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Authentication required to send; open relay closed.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Spam and malware filtering is enabled and current.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Spam and malware filtering on and current.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sz w:val="24"/>
          <w:szCs w:val="24"/>
        </w:rPr>
        <w:t xml:space="preserve">1C. VoIP / Multimedia-Server Hardening (VoIP, SIP/RTP, multimedia-ingestion servers)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1500"/>
        <w:gridCol w:w="2500"/>
      </w:tblGrid>
      <w:tr>
        <w:trPr>
          <w:cantSplit/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Control requirement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signaling is encrypted (SIP over TLS) where the platform and providers support it.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Not applicable: voice is delivered through redundant CAD/ESInet providers; no on-prem VoIP server on this device.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Media is encrypted (SRTP) for sensitive call content where supported.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SIP services are limited to required ports and interfaces, and unused codecs and services are disabled.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Inbound file and multimedia handling is sandboxed or filtered (see the Multimedia &amp; File Ingestion Sanitization Procedure).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Administrative interfaces are not exposed to untrusted networks.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Boundary protection (session border controller or equivalent) is in place.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/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No items marked N. All applicable controls were in place at this review.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IT runs the checklist on new and existing devices on a set cadence, draws control rows from the System Configuration Baselines, and files completed checklists with the configuration records.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NENA-STA-040.2-2024: §6.19, §6.20, §6.21, §6.23.4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i/>
                <w:sz w:val="24"/>
                <w:szCs w:val="24"/>
              </w:rPr>
              <w:t xml:space="preserve">NIST SP 800-53 Rev. 5: CM-2, CM-6, CM-7, SC-8, SI-3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February 20,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hAnsi="Aptos" w:cs="Aptos"/>
                <w:sz w:val="24"/>
                <w:szCs w:val="24"/>
              </w:rPr>
              <w:t xml:space="preserve">February 20,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February 20,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24"/>
                <w:szCs w:val="24"/>
              </w:rPr>
              <w:t xml:space="preserve">Initial completion.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2026-06-01T15:29:11.487Z</dcterms:created>
  <dcterms:modified xsi:type="dcterms:W3CDTF">2026-06-01T15:29:11.487Z</dcterms:modified>
  <dc:title xmlns:dc="http://purl.org/dc/elements/1.1/">Endpoint Hardening Checklist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