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rFonts w:ascii="Aptos" w:cs="Aptos" w:eastAsia="Aptos" w:hAnsi="Aptos"/>
          <w:sz w:val="40"/>
          <w:szCs w:val="40"/>
        </w:rPr>
        <w:t xml:space="preserve">Endpoint Hardening Checklist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ptos" w:cs="Aptos" w:eastAsia="Aptos" w:hAnsi="Aptos"/>
                <w:b/>
                <w:sz w:val="24"/>
                <w:szCs w:val="24"/>
              </w:rPr>
              <w:t xml:space="preserve">Authority: </w:t>
            </w:r>
            <w:r>
              <w:rPr>
                <w:rFonts w:ascii="Aptos" w:cs="Aptos" w:eastAsia="Aptos" w:hAnsi="Aptos"/>
                <w:sz w:val="24"/>
                <w:szCs w:val="24"/>
              </w:rPr>
              <w:t xml:space="preserve">Adopted by </w:t>
            </w:r>
            <w:r>
              <w:rPr>
                <w:rFonts w:ascii="Aptos" w:cs="Aptos" w:eastAsia="Aptos" w:hAnsi="Aptos"/>
                <w:sz w:val="24"/>
                <w:szCs w:val="24"/>
              </w:rPr>
              <w:t xml:space="preserve">Hickory County 9-1-1</w:t>
            </w:r>
            <w:r>
              <w:rPr>
                <w:rFonts w:ascii="Aptos" w:cs="Aptos" w:eastAsia="Aptos" w:hAnsi="Aptos"/>
                <w:sz w:val="24"/>
                <w:szCs w:val="24"/>
              </w:rPr>
              <w:t xml:space="preserve"> under the authority of </w:t>
            </w:r>
            <w:r>
              <w:rPr>
                <w:rFonts w:ascii="Aptos" w:cs="Aptos" w:eastAsia="Aptos" w:hAnsi="Aptos"/>
                <w:sz w:val="24"/>
                <w:szCs w:val="24"/>
              </w:rPr>
              <w:t xml:space="preserve">the Hickory County Board of Commissioners</w:t>
            </w:r>
            <w:r>
              <w:rPr>
                <w:rFonts w:ascii="Aptos" w:cs="Aptos" w:eastAsia="Aptos" w:hAnsi="Aptos"/>
                <w:sz w:val="24"/>
                <w:szCs w:val="24"/>
              </w:rPr>
              <w:t xml:space="preserve">.</w:t>
            </w:r>
          </w:p>
          <w:p>
            <w:pPr>
              <w:spacing w:after="60"/>
            </w:pPr>
            <w:r>
              <w:rPr>
                <w:rFonts w:ascii="Aptos" w:cs="Aptos" w:eastAsia="Aptos" w:hAnsi="Aptos"/>
                <w:b/>
                <w:sz w:val="24"/>
                <w:szCs w:val="24"/>
              </w:rPr>
              <w:t xml:space="preserve">Version: </w:t>
            </w:r>
            <w:r>
              <w:rPr>
                <w:rFonts w:ascii="Aptos" w:cs="Aptos" w:eastAsia="Aptos" w:hAnsi="Aptos"/>
                <w:sz w:val="24"/>
                <w:szCs w:val="24"/>
              </w:rPr>
              <w:t xml:space="preserve">1.0    </w:t>
            </w:r>
            <w:r>
              <w:rPr>
                <w:rFonts w:ascii="Aptos" w:cs="Aptos" w:eastAsia="Aptos" w:hAnsi="Aptos"/>
                <w:b/>
                <w:sz w:val="24"/>
                <w:szCs w:val="24"/>
              </w:rPr>
              <w:t xml:space="preserve">Effective Date: </w:t>
            </w:r>
            <w:r>
              <w:rPr>
                <w:rFonts w:ascii="Aptos" w:cs="Aptos" w:eastAsia="Aptos" w:hAnsi="Aptos"/>
                <w:sz w:val="24"/>
                <w:szCs w:val="24"/>
              </w:rPr>
              <w:t xml:space="preserve">March 2, 2026    </w:t>
            </w:r>
            <w:r>
              <w:rPr>
                <w:rFonts w:ascii="Aptos" w:cs="Aptos" w:eastAsia="Aptos" w:hAnsi="Aptos"/>
                <w:b/>
                <w:sz w:val="24"/>
                <w:szCs w:val="24"/>
              </w:rPr>
              <w:t xml:space="preserve">Next Review: </w:t>
            </w:r>
            <w:r>
              <w:rPr>
                <w:rFonts w:ascii="Aptos" w:cs="Aptos" w:eastAsia="Aptos" w:hAnsi="Aptos"/>
                <w:sz w:val="24"/>
                <w:szCs w:val="24"/>
              </w:rPr>
              <w:t xml:space="preserve">March 2, 2027</w:t>
            </w:r>
          </w:p>
          <w:p>
            <w:pPr>
              <w:spacing w:after="60"/>
            </w:pPr>
            <w:r>
              <w:rPr>
                <w:rFonts w:ascii="Aptos" w:cs="Aptos" w:eastAsia="Aptos" w:hAnsi="Aptos"/>
                <w:b/>
                <w:sz w:val="24"/>
                <w:szCs w:val="24"/>
              </w:rPr>
              <w:t xml:space="preserve">Owner: </w:t>
            </w:r>
            <w:r>
              <w:rPr>
                <w:rFonts w:ascii="Aptos" w:cs="Aptos" w:eastAsia="Aptos" w:hAnsi="Aptos"/>
                <w:sz w:val="24"/>
                <w:szCs w:val="24"/>
              </w:rPr>
              <w:t xml:space="preserve">County IT   </w:t>
            </w:r>
          </w:p>
          <w:p>
            <w:pPr>
              <w:spacing w:after="20"/>
            </w:pPr>
            <w:r>
              <w:rPr>
                <w:rFonts w:ascii="Aptos" w:cs="Aptos" w:eastAsia="Aptos" w:hAnsi="Aptos"/>
                <w:b/>
                <w:sz w:val="24"/>
                <w:szCs w:val="24"/>
              </w:rPr>
              <w:t xml:space="preserve">Classification: </w:t>
            </w:r>
            <w:r>
              <w:rPr>
                <w:rFonts w:ascii="Aptos" w:cs="Aptos" w:eastAsia="Aptos" w:hAnsi="Aptos"/>
                <w:sz w:val="24"/>
                <w:szCs w:val="24"/>
              </w:rPr>
              <w:t xml:space="preserve">Restricted</w:t>
            </w:r>
          </w:p>
        </w:tc>
      </w:tr>
    </w:tbl>
    <w:p>
      <w:pPr>
        <w:spacing w:after="6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ptos" w:cs="Aptos" w:eastAsia="Aptos" w:hAnsi="Aptos"/>
                <w:b/>
                <w:color w:val="1B3A5C"/>
                <w:sz w:val="24"/>
                <w:szCs w:val="24"/>
              </w:rPr>
              <w:t xml:space="preserve">Completion header</w:t>
            </w:r>
          </w:p>
          <w:p>
            <w:pPr>
              <w:spacing w:after="60"/>
            </w:pPr>
            <w:r>
              <w:rPr>
                <w:rFonts w:ascii="Aptos" w:cs="Aptos" w:eastAsia="Aptos" w:hAnsi="Aptos"/>
                <w:b/>
                <w:sz w:val="24"/>
                <w:szCs w:val="24"/>
              </w:rPr>
              <w:t xml:space="preserve">Completed by (role): </w:t>
            </w:r>
            <w:r>
              <w:rPr>
                <w:rFonts w:ascii="Aptos" w:cs="Aptos" w:eastAsia="Aptos" w:hAnsi="Aptos"/>
                <w:sz w:val="24"/>
                <w:szCs w:val="24"/>
              </w:rPr>
              <w:t xml:space="preserve">County IT      </w:t>
            </w:r>
            <w:r>
              <w:rPr>
                <w:rFonts w:ascii="Aptos" w:cs="Aptos" w:eastAsia="Aptos" w:hAnsi="Aptos"/>
                <w:b/>
                <w:sz w:val="24"/>
                <w:szCs w:val="24"/>
              </w:rPr>
              <w:t xml:space="preserve">Date: </w:t>
            </w:r>
            <w:r>
              <w:rPr>
                <w:rFonts w:ascii="Aptos" w:cs="Aptos" w:eastAsia="Aptos" w:hAnsi="Aptos"/>
                <w:sz w:val="24"/>
                <w:szCs w:val="24"/>
              </w:rPr>
              <w:t xml:space="preserve">March 5, 2026</w:t>
            </w:r>
          </w:p>
          <w:p>
            <w:pPr>
              <w:spacing w:after="60"/>
            </w:pPr>
            <w:r>
              <w:rPr>
                <w:rFonts w:ascii="Aptos" w:cs="Aptos" w:eastAsia="Aptos" w:hAnsi="Aptos"/>
                <w:b/>
                <w:sz w:val="24"/>
                <w:szCs w:val="24"/>
              </w:rPr>
              <w:t xml:space="preserve">Device class: </w:t>
            </w:r>
            <w:r>
              <w:rPr>
                <w:rFonts w:ascii="Aptos" w:cs="Aptos" w:eastAsia="Aptos" w:hAnsi="Aptos"/>
                <w:sz w:val="24"/>
                <w:szCs w:val="24"/>
              </w:rPr>
              <w:t xml:space="preserve">General endpoint      </w:t>
            </w:r>
            <w:r>
              <w:rPr>
                <w:rFonts w:ascii="Aptos" w:cs="Aptos" w:eastAsia="Aptos" w:hAnsi="Aptos"/>
                <w:b/>
                <w:sz w:val="24"/>
                <w:szCs w:val="24"/>
              </w:rPr>
              <w:t xml:space="preserve">Asset ID: </w:t>
            </w:r>
            <w:r>
              <w:rPr>
                <w:rFonts w:ascii="Aptos" w:cs="Aptos" w:eastAsia="Aptos" w:hAnsi="Aptos"/>
                <w:sz w:val="24"/>
                <w:szCs w:val="24"/>
              </w:rPr>
              <w:t xml:space="preserve">WS-01 to WS-05 (Master Asset Inventory)</w:t>
            </w:r>
          </w:p>
          <w:p>
            <w:pPr>
              <w:spacing w:after="0"/>
            </w:pPr>
            <w:r>
              <w:rPr>
                <w:rFonts w:ascii="Aptos" w:cs="Aptos" w:eastAsia="Aptos" w:hAnsi="Aptos"/>
                <w:b/>
                <w:sz w:val="24"/>
                <w:szCs w:val="24"/>
              </w:rPr>
              <w:t xml:space="preserve">System / device: </w:t>
            </w:r>
            <w:r>
              <w:rPr>
                <w:rFonts w:ascii="Aptos" w:cs="Aptos" w:eastAsia="Aptos" w:hAnsi="Aptos"/>
                <w:sz w:val="24"/>
                <w:szCs w:val="24"/>
              </w:rPr>
              <w:t xml:space="preserve">Dispatch workstations (5)</w:t>
            </w:r>
          </w:p>
        </w:tc>
      </w:tr>
    </w:tbl>
    <w:p>
      <w:pPr>
        <w:spacing w:after="60"/>
      </w:pPr>
    </w:p>
    <w:p>
      <w:pPr>
        <w:pStyle w:val="Heading2"/>
        <w:spacing w:after="100" w:before="220"/>
      </w:pPr>
      <w:r>
        <w:rPr>
          <w:rFonts w:ascii="Aptos" w:cs="Aptos" w:eastAsia="Aptos" w:hAnsi="Aptos"/>
          <w:sz w:val="26"/>
          <w:szCs w:val="26"/>
        </w:rPr>
        <w:t xml:space="preserve">1. Hardening Checklist</w:t>
      </w:r>
    </w:p>
    <w:p>
      <w:pPr>
        <w:spacing w:after="140"/>
      </w:pPr>
      <w:r>
        <w:rPr>
          <w:rFonts w:ascii="Aptos" w:hAnsi="Aptos" w:cs="Aptos"/>
          <w:sz w:val="24"/>
          <w:szCs w:val="24"/>
        </w:rPr>
        <w:t xml:space="preserve">Every device completes Band 1A. Email servers also complete Band 1B. VoIP, SIP/RTP, and multimedia-ingestion servers also complete Band 1C. Items in a band that does not apply are marked NA.</w:t>
      </w:r>
    </w:p>
    <w:p>
      <w:pPr>
        <w:pStyle w:val="Heading2"/>
        <w:spacing w:after="100" w:before="220"/>
      </w:pPr>
      <w:r>
        <w:rPr>
          <w:rFonts w:ascii="Aptos" w:cs="Aptos" w:eastAsia="Aptos" w:hAnsi="Aptos"/>
          <w:sz w:val="24"/>
          <w:szCs w:val="24"/>
        </w:rPr>
        <w:t xml:space="preserve">1A. General Endpoint Hardening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"/>
        <w:gridCol w:w="4660"/>
        <w:gridCol w:w="1500"/>
        <w:gridCol w:w="2500"/>
      </w:tblGrid>
      <w:tr>
        <w:trPr>
          <w:cantSplit/>
          <w:tblHeader/>
        </w:trPr>
        <w:tc>
          <w:tcPr>
            <w:tcW w:type="dxa" w:w="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#</w:t>
            </w:r>
          </w:p>
        </w:tc>
        <w:tc>
          <w:tcPr>
            <w:tcW w:type="dxa" w:w="46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Control requirement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Y / N / NA</w:t>
            </w:r>
          </w:p>
        </w:tc>
        <w:tc>
          <w:tcPr>
            <w:tcW w:type="dxa" w:w="2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Evidence / Notes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sz w:val="24"/>
                <w:szCs w:val="24"/>
              </w:rPr>
              <w:t xml:space="preserve">1</w:t>
            </w:r>
          </w:p>
        </w:tc>
        <w:tc>
          <w:tcPr>
            <w:tcW w:type="dxa" w:w="46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sz w:val="24"/>
                <w:szCs w:val="24"/>
              </w:rPr>
              <w:t xml:space="preserve">Unnecessary services, ports, and protocols are disabled (least functionality).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sz w:val="24"/>
                <w:szCs w:val="24"/>
              </w:rPr>
              <w:t xml:space="preserve">Y</w:t>
            </w:r>
          </w:p>
        </w:tc>
        <w:tc>
          <w:tcPr>
            <w:tcW w:type="dxa" w:w="2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sz w:val="24"/>
                <w:szCs w:val="24"/>
              </w:rPr>
              <w:t xml:space="preserve">Unused services and ports disabled in the county IT build.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sz w:val="24"/>
                <w:szCs w:val="24"/>
              </w:rPr>
              <w:t xml:space="preserve">2</w:t>
            </w:r>
          </w:p>
        </w:tc>
        <w:tc>
          <w:tcPr>
            <w:tcW w:type="dxa" w:w="46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sz w:val="24"/>
                <w:szCs w:val="24"/>
              </w:rPr>
              <w:t xml:space="preserve">Default and sample accounts are removed or disabled, and default passwords are changed.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sz w:val="24"/>
                <w:szCs w:val="24"/>
              </w:rPr>
              <w:t xml:space="preserve">Y</w:t>
            </w:r>
          </w:p>
        </w:tc>
        <w:tc>
          <w:tcPr>
            <w:tcW w:type="dxa" w:w="2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sz w:val="24"/>
                <w:szCs w:val="24"/>
              </w:rPr>
              <w:t xml:space="preserve">No default or sample accounts; local admin renamed.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sz w:val="24"/>
                <w:szCs w:val="24"/>
              </w:rPr>
              <w:t xml:space="preserve">3</w:t>
            </w:r>
          </w:p>
        </w:tc>
        <w:tc>
          <w:tcPr>
            <w:tcW w:type="dxa" w:w="46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sz w:val="24"/>
                <w:szCs w:val="24"/>
              </w:rPr>
              <w:t xml:space="preserve">Anti-malware or EDR is installed, running, and current (recorded in the Endpoint Security Software Inventory).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sz w:val="24"/>
                <w:szCs w:val="24"/>
              </w:rPr>
              <w:t xml:space="preserve">Y</w:t>
            </w:r>
          </w:p>
        </w:tc>
        <w:tc>
          <w:tcPr>
            <w:tcW w:type="dxa" w:w="2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sz w:val="24"/>
                <w:szCs w:val="24"/>
              </w:rPr>
              <w:t xml:space="preserve">Vendor A AV, definitions current (see Endpoint Security Software Inventory).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sz w:val="24"/>
                <w:szCs w:val="24"/>
              </w:rPr>
              <w:t xml:space="preserve">4</w:t>
            </w:r>
          </w:p>
        </w:tc>
        <w:tc>
          <w:tcPr>
            <w:tcW w:type="dxa" w:w="46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sz w:val="24"/>
                <w:szCs w:val="24"/>
              </w:rPr>
              <w:t xml:space="preserve">The host firewall is enabled and set to the approved baseline.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sz w:val="24"/>
                <w:szCs w:val="24"/>
              </w:rPr>
              <w:t xml:space="preserve">Y</w:t>
            </w:r>
          </w:p>
        </w:tc>
        <w:tc>
          <w:tcPr>
            <w:tcW w:type="dxa" w:w="2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sz w:val="24"/>
                <w:szCs w:val="24"/>
              </w:rPr>
              <w:t xml:space="preserve">Windows Defender Firewall on, baseline profile.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sz w:val="24"/>
                <w:szCs w:val="24"/>
              </w:rPr>
              <w:t xml:space="preserve">5</w:t>
            </w:r>
          </w:p>
        </w:tc>
        <w:tc>
          <w:tcPr>
            <w:tcW w:type="dxa" w:w="46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sz w:val="24"/>
                <w:szCs w:val="24"/>
              </w:rPr>
              <w:t xml:space="preserve">The screen locks after 15 minutes of inactivity and requires re-authentication.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sz w:val="24"/>
                <w:szCs w:val="24"/>
              </w:rPr>
              <w:t xml:space="preserve">Y</w:t>
            </w:r>
          </w:p>
        </w:tc>
        <w:tc>
          <w:tcPr>
            <w:tcW w:type="dxa" w:w="2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sz w:val="24"/>
                <w:szCs w:val="24"/>
              </w:rPr>
              <w:t xml:space="preserve">GPO enforces a 15-minute lock.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sz w:val="24"/>
                <w:szCs w:val="24"/>
              </w:rPr>
              <w:t xml:space="preserve">6</w:t>
            </w:r>
          </w:p>
        </w:tc>
        <w:tc>
          <w:tcPr>
            <w:tcW w:type="dxa" w:w="46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sz w:val="24"/>
                <w:szCs w:val="24"/>
              </w:rPr>
              <w:t xml:space="preserve">The operating system and applications are patched to the current approved level.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sz w:val="24"/>
                <w:szCs w:val="24"/>
              </w:rPr>
              <w:t xml:space="preserve">Y</w:t>
            </w:r>
          </w:p>
        </w:tc>
        <w:tc>
          <w:tcPr>
            <w:tcW w:type="dxa" w:w="2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sz w:val="24"/>
                <w:szCs w:val="24"/>
              </w:rPr>
              <w:t xml:space="preserve">Monthly county IT patch cycle; current.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sz w:val="24"/>
                <w:szCs w:val="24"/>
              </w:rPr>
              <w:t xml:space="preserve">7</w:t>
            </w:r>
          </w:p>
        </w:tc>
        <w:tc>
          <w:tcPr>
            <w:tcW w:type="dxa" w:w="46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sz w:val="24"/>
                <w:szCs w:val="24"/>
              </w:rPr>
              <w:t xml:space="preserve">Full-disk encryption is enabled on devices that hold or access sensitive data.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sz w:val="24"/>
                <w:szCs w:val="24"/>
              </w:rPr>
              <w:t xml:space="preserve">N</w:t>
            </w:r>
          </w:p>
        </w:tc>
        <w:tc>
          <w:tcPr>
            <w:tcW w:type="dxa" w:w="2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sz w:val="24"/>
                <w:szCs w:val="24"/>
              </w:rPr>
              <w:t xml:space="preserve">3 of 5 encrypted; WS-04 and WS-05 scheduled (R-2026-014).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sz w:val="24"/>
                <w:szCs w:val="24"/>
              </w:rPr>
              <w:t xml:space="preserve">8</w:t>
            </w:r>
          </w:p>
        </w:tc>
        <w:tc>
          <w:tcPr>
            <w:tcW w:type="dxa" w:w="46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sz w:val="24"/>
                <w:szCs w:val="24"/>
              </w:rPr>
              <w:t xml:space="preserve">Automatic script and macro execution is restricted (for example, blocked Office macros, no removable-media autorun).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sz w:val="24"/>
                <w:szCs w:val="24"/>
              </w:rPr>
              <w:t xml:space="preserve">Y</w:t>
            </w:r>
          </w:p>
        </w:tc>
        <w:tc>
          <w:tcPr>
            <w:tcW w:type="dxa" w:w="2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sz w:val="24"/>
                <w:szCs w:val="24"/>
              </w:rPr>
              <w:t xml:space="preserve">Office macros blocked; removable-media autorun disabled.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sz w:val="24"/>
                <w:szCs w:val="24"/>
              </w:rPr>
              <w:t xml:space="preserve">9</w:t>
            </w:r>
          </w:p>
        </w:tc>
        <w:tc>
          <w:tcPr>
            <w:tcW w:type="dxa" w:w="46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sz w:val="24"/>
                <w:szCs w:val="24"/>
              </w:rPr>
              <w:t xml:space="preserve">The configuration matches the System Configuration Baselines for this device type.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sz w:val="24"/>
                <w:szCs w:val="24"/>
              </w:rPr>
              <w:t xml:space="preserve">Y</w:t>
            </w:r>
          </w:p>
        </w:tc>
        <w:tc>
          <w:tcPr>
            <w:tcW w:type="dxa" w:w="2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sz w:val="24"/>
                <w:szCs w:val="24"/>
              </w:rPr>
              <w:t xml:space="preserve">Built to the System Configuration Baselines.</w:t>
            </w:r>
          </w:p>
        </w:tc>
      </w:tr>
    </w:tbl>
    <w:p>
      <w:pPr>
        <w:pStyle w:val="Heading2"/>
        <w:spacing w:after="100" w:before="220"/>
      </w:pPr>
      <w:r>
        <w:rPr>
          <w:rFonts w:ascii="Aptos" w:cs="Aptos" w:eastAsia="Aptos" w:hAnsi="Aptos"/>
          <w:sz w:val="24"/>
          <w:szCs w:val="24"/>
        </w:rPr>
        <w:t xml:space="preserve">1B. Email-Server Hardening (email servers and gateways)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"/>
        <w:gridCol w:w="4660"/>
        <w:gridCol w:w="1500"/>
        <w:gridCol w:w="2500"/>
      </w:tblGrid>
      <w:tr>
        <w:trPr>
          <w:cantSplit/>
          <w:tblHeader/>
        </w:trPr>
        <w:tc>
          <w:tcPr>
            <w:tcW w:type="dxa" w:w="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#</w:t>
            </w:r>
          </w:p>
        </w:tc>
        <w:tc>
          <w:tcPr>
            <w:tcW w:type="dxa" w:w="46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Control requirement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Y / N / NA</w:t>
            </w:r>
          </w:p>
        </w:tc>
        <w:tc>
          <w:tcPr>
            <w:tcW w:type="dxa" w:w="2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Evidence / Notes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sz w:val="24"/>
                <w:szCs w:val="24"/>
              </w:rPr>
              <w:t xml:space="preserve">1</w:t>
            </w:r>
          </w:p>
        </w:tc>
        <w:tc>
          <w:tcPr>
            <w:tcW w:type="dxa" w:w="46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sz w:val="24"/>
                <w:szCs w:val="24"/>
              </w:rPr>
              <w:t xml:space="preserve">SPF is published and enforced for the Agency’s sending domains.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sz w:val="24"/>
                <w:szCs w:val="24"/>
              </w:rPr>
              <w:t xml:space="preserve">NA</w:t>
            </w:r>
          </w:p>
        </w:tc>
        <w:tc>
          <w:tcPr>
            <w:tcW w:type="dxa" w:w="2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sz w:val="24"/>
                <w:szCs w:val="24"/>
              </w:rPr>
              <w:t xml:space="preserve">Not applicable: email is county-hosted (Microsoft 365); no on-prem mail server.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sz w:val="24"/>
                <w:szCs w:val="24"/>
              </w:rPr>
              <w:t xml:space="preserve">2</w:t>
            </w:r>
          </w:p>
        </w:tc>
        <w:tc>
          <w:tcPr>
            <w:tcW w:type="dxa" w:w="46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sz w:val="24"/>
                <w:szCs w:val="24"/>
              </w:rPr>
              <w:t xml:space="preserve">DKIM signing is enabled and the keys are valid.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sz w:val="24"/>
                <w:szCs w:val="24"/>
              </w:rPr>
              <w:t xml:space="preserve">NA</w:t>
            </w:r>
          </w:p>
        </w:tc>
        <w:tc>
          <w:tcPr>
            <w:tcW w:type="dxa" w:w="2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sz w:val="24"/>
                <w:szCs w:val="24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sz w:val="24"/>
                <w:szCs w:val="24"/>
              </w:rPr>
              <w:t xml:space="preserve">3</w:t>
            </w:r>
          </w:p>
        </w:tc>
        <w:tc>
          <w:tcPr>
            <w:tcW w:type="dxa" w:w="46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sz w:val="24"/>
                <w:szCs w:val="24"/>
              </w:rPr>
              <w:t xml:space="preserve">DMARC is published with an enforcing policy (quarantine or reject).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sz w:val="24"/>
                <w:szCs w:val="24"/>
              </w:rPr>
              <w:t xml:space="preserve">NA</w:t>
            </w:r>
          </w:p>
        </w:tc>
        <w:tc>
          <w:tcPr>
            <w:tcW w:type="dxa" w:w="2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sz w:val="24"/>
                <w:szCs w:val="24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sz w:val="24"/>
                <w:szCs w:val="24"/>
              </w:rPr>
              <w:t xml:space="preserve">4</w:t>
            </w:r>
          </w:p>
        </w:tc>
        <w:tc>
          <w:tcPr>
            <w:tcW w:type="dxa" w:w="46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sz w:val="24"/>
                <w:szCs w:val="24"/>
              </w:rPr>
              <w:t xml:space="preserve">TLS is required for inbound and outbound mail transport.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sz w:val="24"/>
                <w:szCs w:val="24"/>
              </w:rPr>
              <w:t xml:space="preserve">NA</w:t>
            </w:r>
          </w:p>
        </w:tc>
        <w:tc>
          <w:tcPr>
            <w:tcW w:type="dxa" w:w="2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sz w:val="24"/>
                <w:szCs w:val="24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sz w:val="24"/>
                <w:szCs w:val="24"/>
              </w:rPr>
              <w:t xml:space="preserve">5</w:t>
            </w:r>
          </w:p>
        </w:tc>
        <w:tc>
          <w:tcPr>
            <w:tcW w:type="dxa" w:w="46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sz w:val="24"/>
                <w:szCs w:val="24"/>
              </w:rPr>
              <w:t xml:space="preserve">Open relay is disabled and authentication is required to send.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sz w:val="24"/>
                <w:szCs w:val="24"/>
              </w:rPr>
              <w:t xml:space="preserve">NA</w:t>
            </w:r>
          </w:p>
        </w:tc>
        <w:tc>
          <w:tcPr>
            <w:tcW w:type="dxa" w:w="2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sz w:val="24"/>
                <w:szCs w:val="24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sz w:val="24"/>
                <w:szCs w:val="24"/>
              </w:rPr>
              <w:t xml:space="preserve">6</w:t>
            </w:r>
          </w:p>
        </w:tc>
        <w:tc>
          <w:tcPr>
            <w:tcW w:type="dxa" w:w="46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sz w:val="24"/>
                <w:szCs w:val="24"/>
              </w:rPr>
              <w:t xml:space="preserve">Spam and malware filtering is enabled and current.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sz w:val="24"/>
                <w:szCs w:val="24"/>
              </w:rPr>
              <w:t xml:space="preserve">NA</w:t>
            </w:r>
          </w:p>
        </w:tc>
        <w:tc>
          <w:tcPr>
            <w:tcW w:type="dxa" w:w="2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sz w:val="24"/>
                <w:szCs w:val="24"/>
              </w:rPr>
              <w:t xml:space="preserve"/>
            </w:r>
          </w:p>
        </w:tc>
      </w:tr>
    </w:tbl>
    <w:p>
      <w:pPr>
        <w:pStyle w:val="Heading2"/>
        <w:spacing w:after="100" w:before="220"/>
      </w:pPr>
      <w:r>
        <w:rPr>
          <w:rFonts w:ascii="Aptos" w:cs="Aptos" w:eastAsia="Aptos" w:hAnsi="Aptos"/>
          <w:sz w:val="24"/>
          <w:szCs w:val="24"/>
        </w:rPr>
        <w:t xml:space="preserve">1C. VoIP / Multimedia-Server Hardening (VoIP, SIP/RTP, multimedia-ingestion servers)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"/>
        <w:gridCol w:w="4660"/>
        <w:gridCol w:w="1500"/>
        <w:gridCol w:w="2500"/>
      </w:tblGrid>
      <w:tr>
        <w:trPr>
          <w:cantSplit/>
          <w:tblHeader/>
        </w:trPr>
        <w:tc>
          <w:tcPr>
            <w:tcW w:type="dxa" w:w="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#</w:t>
            </w:r>
          </w:p>
        </w:tc>
        <w:tc>
          <w:tcPr>
            <w:tcW w:type="dxa" w:w="46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Control requirement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Y / N / NA</w:t>
            </w:r>
          </w:p>
        </w:tc>
        <w:tc>
          <w:tcPr>
            <w:tcW w:type="dxa" w:w="2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Evidence / Notes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sz w:val="24"/>
                <w:szCs w:val="24"/>
              </w:rPr>
              <w:t xml:space="preserve">1</w:t>
            </w:r>
          </w:p>
        </w:tc>
        <w:tc>
          <w:tcPr>
            <w:tcW w:type="dxa" w:w="46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sz w:val="24"/>
                <w:szCs w:val="24"/>
              </w:rPr>
              <w:t xml:space="preserve">SIP signaling is encrypted (SIP over TLS) where the platform and providers support it.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sz w:val="24"/>
                <w:szCs w:val="24"/>
              </w:rPr>
              <w:t xml:space="preserve">NA</w:t>
            </w:r>
          </w:p>
        </w:tc>
        <w:tc>
          <w:tcPr>
            <w:tcW w:type="dxa" w:w="2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sz w:val="24"/>
                <w:szCs w:val="24"/>
              </w:rPr>
              <w:t xml:space="preserve">Not applicable: CAD and call handling are hosted by the Agency’s CAD/ESInet vendor; no on-prem VoIP server.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sz w:val="24"/>
                <w:szCs w:val="24"/>
              </w:rPr>
              <w:t xml:space="preserve">2</w:t>
            </w:r>
          </w:p>
        </w:tc>
        <w:tc>
          <w:tcPr>
            <w:tcW w:type="dxa" w:w="46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sz w:val="24"/>
                <w:szCs w:val="24"/>
              </w:rPr>
              <w:t xml:space="preserve">Media is encrypted (SRTP) for sensitive call content where supported.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sz w:val="24"/>
                <w:szCs w:val="24"/>
              </w:rPr>
              <w:t xml:space="preserve">NA</w:t>
            </w:r>
          </w:p>
        </w:tc>
        <w:tc>
          <w:tcPr>
            <w:tcW w:type="dxa" w:w="2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sz w:val="24"/>
                <w:szCs w:val="24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sz w:val="24"/>
                <w:szCs w:val="24"/>
              </w:rPr>
              <w:t xml:space="preserve">3</w:t>
            </w:r>
          </w:p>
        </w:tc>
        <w:tc>
          <w:tcPr>
            <w:tcW w:type="dxa" w:w="46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sz w:val="24"/>
                <w:szCs w:val="24"/>
              </w:rPr>
              <w:t xml:space="preserve">SIP services are limited to required ports and interfaces, and unused codecs and services are disabled.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sz w:val="24"/>
                <w:szCs w:val="24"/>
              </w:rPr>
              <w:t xml:space="preserve">NA</w:t>
            </w:r>
          </w:p>
        </w:tc>
        <w:tc>
          <w:tcPr>
            <w:tcW w:type="dxa" w:w="2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sz w:val="24"/>
                <w:szCs w:val="24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sz w:val="24"/>
                <w:szCs w:val="24"/>
              </w:rPr>
              <w:t xml:space="preserve">4</w:t>
            </w:r>
          </w:p>
        </w:tc>
        <w:tc>
          <w:tcPr>
            <w:tcW w:type="dxa" w:w="46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sz w:val="24"/>
                <w:szCs w:val="24"/>
              </w:rPr>
              <w:t xml:space="preserve">Inbound file and multimedia handling is sandboxed or filtered (see the Multimedia &amp; File Ingestion Sanitization Procedure).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sz w:val="24"/>
                <w:szCs w:val="24"/>
              </w:rPr>
              <w:t xml:space="preserve">NA</w:t>
            </w:r>
          </w:p>
        </w:tc>
        <w:tc>
          <w:tcPr>
            <w:tcW w:type="dxa" w:w="2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sz w:val="24"/>
                <w:szCs w:val="24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sz w:val="24"/>
                <w:szCs w:val="24"/>
              </w:rPr>
              <w:t xml:space="preserve">5</w:t>
            </w:r>
          </w:p>
        </w:tc>
        <w:tc>
          <w:tcPr>
            <w:tcW w:type="dxa" w:w="46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sz w:val="24"/>
                <w:szCs w:val="24"/>
              </w:rPr>
              <w:t xml:space="preserve">Administrative interfaces are not exposed to untrusted networks.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sz w:val="24"/>
                <w:szCs w:val="24"/>
              </w:rPr>
              <w:t xml:space="preserve">NA</w:t>
            </w:r>
          </w:p>
        </w:tc>
        <w:tc>
          <w:tcPr>
            <w:tcW w:type="dxa" w:w="2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sz w:val="24"/>
                <w:szCs w:val="24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sz w:val="24"/>
                <w:szCs w:val="24"/>
              </w:rPr>
              <w:t xml:space="preserve">6</w:t>
            </w:r>
          </w:p>
        </w:tc>
        <w:tc>
          <w:tcPr>
            <w:tcW w:type="dxa" w:w="46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sz w:val="24"/>
                <w:szCs w:val="24"/>
              </w:rPr>
              <w:t xml:space="preserve">Boundary protection (session border controller or equivalent) is in place.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sz w:val="24"/>
                <w:szCs w:val="24"/>
              </w:rPr>
              <w:t xml:space="preserve">NA</w:t>
            </w:r>
          </w:p>
        </w:tc>
        <w:tc>
          <w:tcPr>
            <w:tcW w:type="dxa" w:w="2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sz w:val="24"/>
                <w:szCs w:val="24"/>
              </w:rPr>
              <w:t xml:space="preserve"/>
            </w:r>
          </w:p>
        </w:tc>
      </w:tr>
    </w:tbl>
    <w:p>
      <w:pPr>
        <w:pStyle w:val="Heading2"/>
        <w:spacing w:after="100" w:before="220"/>
      </w:pPr>
      <w:r>
        <w:rPr>
          <w:rFonts w:ascii="Aptos" w:cs="Aptos" w:eastAsia="Aptos" w:hAnsi="Aptos"/>
          <w:b/>
          <w:bCs/>
          <w:color w:val="1B3A5C"/>
          <w:sz w:val="26"/>
          <w:szCs w:val="26"/>
        </w:rPr>
        <w:t xml:space="preserve">2. Non-Compliance Escalation</w:t>
      </w:r>
    </w:p>
    <w:p>
      <w:pPr>
        <w:spacing w:after="120" w:before="0"/>
      </w:pPr>
      <w:r>
        <w:rPr>
          <w:rFonts w:ascii="Aptos" w:cs="Aptos" w:eastAsia="Aptos" w:hAnsi="Aptos"/>
          <w:sz w:val="24"/>
          <w:szCs w:val="24"/>
        </w:rPr>
        <w:t xml:space="preserve">Item 1A-7 is marked N: full-disk encryption is missing on WS-04 and WS-05. Logged in the Risk / Finding Register as R-2026-014, assigned to County IT, remediation due April 3, 2026. All other items pass.</w:t>
      </w:r>
    </w:p>
    <w:p>
      <w:pPr>
        <w:pStyle w:val="Heading2"/>
        <w:spacing w:after="100" w:before="220"/>
      </w:pPr>
      <w:r>
        <w:rPr>
          <w:rFonts w:ascii="Aptos" w:cs="Aptos" w:eastAsia="Aptos" w:hAnsi="Aptos"/>
          <w:b/>
          <w:bCs/>
          <w:color w:val="1B3A5C"/>
          <w:sz w:val="26"/>
          <w:szCs w:val="26"/>
        </w:rPr>
        <w:t xml:space="preserve">Profile Scaling Notes</w:t>
      </w:r>
    </w:p>
    <w:p>
      <w:pPr>
        <w:spacing w:after="140"/>
      </w:pPr>
      <w:r>
        <w:rPr>
          <w:rFonts w:ascii="Aptos" w:cs="Aptos" w:eastAsia="Aptos" w:hAnsi="Aptos"/>
          <w:i/>
          <w:iCs/>
          <w:color w:val="595959"/>
          <w:sz w:val="24"/>
          <w:szCs w:val="24"/>
        </w:rPr>
        <w:t xml:space="preserve">One short paragraph per profile: what minimum-viable looks like for that reader and where to scale up. Keep all three if this ships as a template; delete the profiles that do not apply once adopted.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6160"/>
      </w:tblGrid>
      <w:tr>
        <w:trPr>
          <w:cantSplit/>
          <w:tblHeader/>
        </w:trPr>
        <w:tc>
          <w:tcPr>
            <w:tcW w:type="dxa" w:w="3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PSAP Profile</w:t>
            </w:r>
          </w:p>
        </w:tc>
        <w:tc>
          <w:tcPr>
            <w:tcW w:type="dxa" w:w="61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Minimum-viable implementation</w:t>
            </w:r>
          </w:p>
        </w:tc>
      </w:tr>
      <w:tr>
        <w:trPr>
          <w:cantSplit/>
        </w:trPr>
        <w:tc>
          <w:tcPr>
            <w:tcW w:type="dxa" w:w="3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Small (1–5 dispatchers, no in-house IT)</w:t>
            </w:r>
          </w:p>
        </w:tc>
        <w:tc>
          <w:tcPr>
            <w:tcW w:type="dxa" w:w="61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sz w:val="24"/>
                <w:szCs w:val="24"/>
              </w:rPr>
              <w:t xml:space="preserve">Run the checklist by hand on each device at setup and at each review; usually the director or county IT completes it. Bands 1B and 1C apply only if the Agency runs its own email or VoIP/multimedia servers, which many small centers do not; mark those NA.</w:t>
            </w:r>
          </w:p>
        </w:tc>
      </w:tr>
    </w:tbl>
    <w:p>
      <w:pPr>
        <w:spacing w:after="6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ptos" w:cs="Aptos" w:eastAsia="Aptos" w:hAnsi="Aptos"/>
                <w:b/>
                <w:bCs/>
                <w:i w:val="false"/>
                <w:iCs w:val="false"/>
                <w:color w:val="1B3A5C"/>
                <w:sz w:val="24"/>
                <w:szCs w:val="24"/>
              </w:rPr>
              <w:t xml:space="preserve">Source Authority</w:t>
            </w:r>
          </w:p>
          <w:p>
            <w:pPr>
              <w:spacing w:after="140"/>
            </w:pPr>
            <w:r>
              <w:rPr>
                <w:rFonts w:ascii="Aptos" w:cs="Aptos" w:eastAsia="Aptos" w:hAnsi="Aptos"/>
                <w:i/>
                <w:iCs/>
                <w:color w:val="595959"/>
                <w:sz w:val="24"/>
                <w:szCs w:val="24"/>
              </w:rPr>
              <w:t xml:space="preserve">List only the authorities that map to content in this artifact. Group by authority; order sections and control IDs numerically. No padding. Replace the lines below with the citations that actually apply.</w:t>
            </w:r>
          </w:p>
          <w:p>
            <w:pPr>
              <w:spacing w:after="40" w:before="0"/>
            </w:pPr>
            <w:r>
              <w:rPr>
                <w:rFonts w:ascii="Aptos" w:cs="Aptos" w:eastAsia="Aptos" w:hAnsi="Aptos"/>
                <w:i/>
                <w:sz w:val="24"/>
                <w:szCs w:val="24"/>
              </w:rPr>
              <w:t xml:space="preserve">NENA-STA-040.2-2024: §6.19, §6.20, §6.21, §6.23.4</w:t>
            </w:r>
          </w:p>
          <w:p>
            <w:pPr>
              <w:spacing w:after="40" w:before="0"/>
            </w:pPr>
            <w:r>
              <w:rPr>
                <w:rFonts w:ascii="Aptos" w:cs="Aptos" w:eastAsia="Aptos" w:hAnsi="Aptos"/>
                <w:i/>
                <w:sz w:val="24"/>
                <w:szCs w:val="24"/>
              </w:rPr>
              <w:t xml:space="preserve">NIST SP 800-53 Rev. 5: CM-2, CM-6, CM-7, SC-8, SI-3</w:t>
            </w:r>
          </w:p>
        </w:tc>
      </w:tr>
    </w:tbl>
    <w:p>
      <w:pPr>
        <w:pStyle w:val="Heading2"/>
        <w:spacing w:after="100" w:before="220"/>
      </w:pPr>
      <w:r>
        <w:rPr>
          <w:rFonts w:ascii="Aptos" w:cs="Aptos" w:eastAsia="Aptos" w:hAnsi="Aptos"/>
          <w:b/>
          <w:bCs/>
          <w:color w:val="1B3A5C"/>
          <w:sz w:val="26"/>
          <w:szCs w:val="26"/>
        </w:rPr>
        <w:t xml:space="preserve">Sign-off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2360"/>
        <w:gridCol w:w="2600"/>
        <w:gridCol w:w="1400"/>
      </w:tblGrid>
      <w:tr>
        <w:trPr>
          <w:cantSplit/>
          <w:tblHeader/>
        </w:trP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Role</w:t>
            </w:r>
          </w:p>
        </w:tc>
        <w:tc>
          <w:tcPr>
            <w:tcW w:type="dxa" w:w="2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Name</w:t>
            </w:r>
          </w:p>
        </w:tc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Signature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Date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sz w:val="24"/>
                <w:szCs w:val="24"/>
              </w:rPr>
              <w:t xml:space="preserve">County IT</w:t>
            </w:r>
          </w:p>
        </w:tc>
        <w:tc>
          <w:tcPr>
            <w:tcW w:type="dxa" w:w="2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hAnsi="Aptos" w:cs="Aptos"/>
                <w:sz w:val="24"/>
                <w:szCs w:val="24"/>
              </w:rPr>
              <w:t xml:space="preserve">Marcus Reed</w:t>
            </w:r>
          </w:p>
        </w:tc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hAnsi="Aptos" w:cs="Aptos"/>
                <w:sz w:val="24"/>
                <w:szCs w:val="24"/>
              </w:rPr>
              <w:t xml:space="preserve">/s/ Marcus Reed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hAnsi="Aptos" w:cs="Aptos"/>
                <w:sz w:val="24"/>
                <w:szCs w:val="24"/>
              </w:rPr>
              <w:t xml:space="preserve">March 5, 2026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sz w:val="24"/>
                <w:szCs w:val="24"/>
              </w:rPr>
              <w:t xml:space="preserve">9-1-1 Director</w:t>
            </w:r>
          </w:p>
        </w:tc>
        <w:tc>
          <w:tcPr>
            <w:tcW w:type="dxa" w:w="2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hAnsi="Aptos" w:cs="Aptos"/>
                <w:sz w:val="24"/>
                <w:szCs w:val="24"/>
              </w:rPr>
              <w:t xml:space="preserve">Tracy Holloway</w:t>
            </w:r>
          </w:p>
        </w:tc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hAnsi="Aptos" w:cs="Aptos"/>
                <w:sz w:val="24"/>
                <w:szCs w:val="24"/>
              </w:rPr>
              <w:t xml:space="preserve">/s/ Tracy Holloway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hAnsi="Aptos" w:cs="Aptos"/>
                <w:sz w:val="24"/>
                <w:szCs w:val="24"/>
              </w:rPr>
              <w:t xml:space="preserve">March 5, 2026</w:t>
            </w:r>
          </w:p>
        </w:tc>
      </w:tr>
    </w:tbl>
    <w:p>
      <w:pPr>
        <w:pStyle w:val="Heading2"/>
        <w:spacing w:after="100" w:before="220"/>
      </w:pPr>
      <w:r>
        <w:rPr>
          <w:rFonts w:ascii="Aptos" w:cs="Aptos" w:eastAsia="Aptos" w:hAnsi="Aptos"/>
          <w:b/>
          <w:bCs/>
          <w:color w:val="1B3A5C"/>
          <w:sz w:val="26"/>
          <w:szCs w:val="26"/>
        </w:rPr>
        <w:t xml:space="preserve">Revision History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00"/>
        <w:gridCol w:w="1600"/>
        <w:gridCol w:w="2200"/>
        <w:gridCol w:w="4260"/>
      </w:tblGrid>
      <w:tr>
        <w:trPr>
          <w:cantSplit/>
          <w:tblHeader/>
        </w:trPr>
        <w:tc>
          <w:tcPr>
            <w:tcW w:type="dxa" w:w="1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Version</w:t>
            </w:r>
          </w:p>
        </w:tc>
        <w:tc>
          <w:tcPr>
            <w:tcW w:type="dxa" w:w="1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Date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Author</w:t>
            </w:r>
          </w:p>
        </w:tc>
        <w:tc>
          <w:tcPr>
            <w:tcW w:type="dxa" w:w="42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Summary of Change</w:t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sz w:val="24"/>
                <w:szCs w:val="24"/>
              </w:rPr>
              <w:t xml:space="preserve">1.0</w:t>
            </w:r>
          </w:p>
        </w:tc>
        <w:tc>
          <w:tcPr>
            <w:tcW w:type="dxa" w:w="1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sz w:val="24"/>
                <w:szCs w:val="24"/>
              </w:rPr>
              <w:t xml:space="preserve">March 5, 2026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sz w:val="24"/>
                <w:szCs w:val="24"/>
              </w:rPr>
              <w:t xml:space="preserve">County IT</w:t>
            </w:r>
          </w:p>
        </w:tc>
        <w:tc>
          <w:tcPr>
            <w:tcW w:type="dxa" w:w="42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sz w:val="24"/>
                <w:szCs w:val="24"/>
              </w:rPr>
              <w:t xml:space="preserve">Initial completion.</w:t>
            </w:r>
          </w:p>
        </w:tc>
      </w:tr>
    </w:tbl>
    <w:p>
      <w:pPr>
        <w:spacing w:after="60"/>
      </w:pP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Aptos" w:cs="Aptos" w:eastAsia="Aptos" w:hAnsi="Aptos"/>
        <w:color w:val="595959"/>
        <w:sz w:val="18"/>
        <w:szCs w:val="18"/>
      </w:rPr>
      <w:t xml:space="preserve">Page </w:t>
    </w:r>
    <w:r>
      <w:rPr>
        <w:rFonts w:ascii="Aptos" w:cs="Aptos" w:eastAsia="Aptos" w:hAnsi="Aptos"/>
        <w:color w:val="595959"/>
        <w:sz w:val="18"/>
        <w:szCs w:val="18"/>
      </w:rPr>
      <w:fldChar w:fldCharType="begin"/>
      <w:instrText xml:space="preserve">PAGE</w:instrText>
      <w:fldChar w:fldCharType="separate"/>
      <w:fldChar w:fldCharType="end"/>
    </w:r>
    <w:r>
      <w:rPr>
        <w:rFonts w:ascii="Aptos" w:cs="Aptos" w:eastAsia="Aptos" w:hAnsi="Aptos"/>
        <w:color w:val="595959"/>
        <w:sz w:val="18"/>
        <w:szCs w:val="18"/>
      </w:rPr>
      <w:t xml:space="preserve"> of </w:t>
    </w:r>
    <w:r>
      <w:rPr>
        <w:rFonts w:ascii="Aptos" w:cs="Aptos" w:eastAsia="Aptos" w:hAnsi="Aptos"/>
        <w:color w:val="595959"/>
        <w:sz w:val="18"/>
        <w:szCs w:val="18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center"/>
    </w:pPr>
    <w:r>
      <w:drawing>
        <wp:inline xmlns:a="http://schemas.openxmlformats.org/drawingml/2006/main" xmlns:pic="http://schemas.openxmlformats.org/drawingml/2006/picture">
          <wp:extent cx="777240" cy="777240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seal-S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77240" cy="777240"/>
                  </a:xfrm>
                  <a:prstGeom prst="rect"/>
                </pic:spPr>
              </pic:pic>
            </a:graphicData>
          </a:graphic>
        </wp:inline>
      </w:drawing>
    </w:r>
  </w:p>
  <w:p>
    <w:pPr>
      <w:pBdr>
        <w:bottom w:val="single" w:color="1B3A5C" w:sz="6" w:space="2"/>
      </w:pBdr>
      <w:jc w:val="right"/>
    </w:pPr>
    <w:r>
      <w:rPr>
        <w:rFonts w:ascii="Aptos" w:cs="Aptos" w:eastAsia="Aptos" w:hAnsi="Aptos"/>
        <w:color w:val="595959"/>
        <w:sz w:val="16"/>
        <w:szCs w:val="16"/>
      </w:rPr>
    </w:r>
  </w:p>
  <w:p>
    <w:r>
      <w:drawing>
        <wp:anchor xmlns:a="http://schemas.openxmlformats.org/drawingml/2006/main" behindDoc="1" distT="0" distB="0" distL="0" distR="0" simplePos="0" locked="0" layoutInCell="1" allowOverlap="1" relativeHeight="0">
          <wp:simplePos x="0" y="0"/>
          <wp:positionH relativeFrom="page">
            <wp:align>center</wp:align>
          </wp:positionH>
          <wp:positionV relativeFrom="page">
            <wp:align>center</wp:align>
          </wp:positionV>
          <wp:extent cx="5943600" cy="5943600"/>
          <wp:effectExtent l="0" t="0" r="0" b="0"/>
          <wp:wrapNone/>
          <wp:docPr id="990" name="SampleWatermark"/>
          <wp:cNvGraphicFramePr/>
          <a:graphic xmlns:pic="http://schemas.openxmlformats.org/drawingml/2006/picture">
            <a:graphicData uri="http://schemas.openxmlformats.org/drawingml/2006/picture">
              <pic:pic>
                <pic:nvPicPr>
                  <pic:cNvPr id="0" name="_sample_wm.png"/>
                  <pic:cNvPicPr/>
                </pic:nvPicPr>
                <pic:blipFill>
                  <a:blip r:embed="rId2"/>
                  <a:stretch>
                    <a:fillRect/>
                  </a:stretch>
                </pic:blipFill>
                <pic:spPr>
                  <a:xfrm>
                    <a:off x="0" y="0"/>
                    <a:ext cx="5943600" cy="5943600"/>
                  </a:xfrm>
                  <a:prstGeom prst="rect"/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600" w:hanging="32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600" w:hanging="320"/>
      </w:pPr>
    </w:lvl>
  </w:abstractNum>
  <w:abstractNum w:abstractNumId="4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600" w:hanging="320"/>
      </w:pPr>
    </w:lvl>
  </w:abstractNum>
  <w:abstractNum w:abstractNumId="5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600" w:hanging="320"/>
      </w:pPr>
    </w:lvl>
  </w:abstractNum>
  <w:abstractNum w:abstractNumId="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600" w:hanging="320"/>
      </w:pPr>
    </w:lvl>
  </w:abstractNum>
  <w:abstractNum w:abstractNumId="7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600" w:hanging="320"/>
      </w:pPr>
    </w:lvl>
  </w:abstractNum>
  <w:abstractNum w:abstractNumId="8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600" w:hanging="320"/>
      </w:pPr>
    </w:lvl>
  </w:abstractNum>
  <w:abstractNum w:abstractNumId="9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600" w:hanging="320"/>
      </w:pPr>
    </w:lvl>
  </w:abstractNum>
  <w:abstractNum w:abstractNumId="10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600" w:hanging="320"/>
      </w:pPr>
    </w:lvl>
  </w:abstractNum>
  <w:abstractNum w:abstractNumId="11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600" w:hanging="320"/>
      </w:pPr>
    </w:lvl>
  </w:abstractNum>
  <w:abstractNum w:abstractNumId="1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600" w:hanging="32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ptos" w:cs="Aptos" w:eastAsia="Aptos" w:hAnsi="Aptos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3">
    <w:name w:val="Heading 3"/>
    <w:basedOn w:val="Normal"/>
    <w:next w:val="Normal"/>
    <w:qFormat/>
    <w:pPr>
      <w:keepNext/>
      <w:keepLines/>
      <w:spacing w:after="100" w:before="220"/>
      <w:outlineLvl w:val="2"/>
    </w:pPr>
    <w:rPr>
      <w:rFonts w:ascii="Aptos" w:cs="Aptos" w:eastAsia="Aptos" w:hAnsi="Aptos"/>
      <w:b/>
      <w:bCs/>
      <w:color w:val="1B3A5C"/>
      <w:sz w:val="26"/>
      <w:szCs w:val="26"/>
    </w:rPr>
  </w:style>
  <w:style w:type="paragraph" w:styleId="Heading4">
    <w:name w:val="Heading 4"/>
    <w:basedOn w:val="Normal"/>
    <w:next w:val="Normal"/>
    <w:qFormat/>
    <w:pPr>
      <w:keepNext/>
      <w:keepLines/>
      <w:spacing w:after="100" w:before="220"/>
      <w:outlineLvl w:val="3"/>
    </w:pPr>
    <w:rPr>
      <w:rFonts w:ascii="Aptos" w:cs="Aptos" w:eastAsia="Aptos" w:hAnsi="Aptos"/>
      <w:b/>
      <w:bCs/>
      <w:color w:val="1B3A5C"/>
      <w:sz w:val="24"/>
      <w:szCs w:val="24"/>
    </w:rPr>
  </w:style>
  <w:style w:type="paragraph" w:styleId="Heading5">
    <w:name w:val="Heading 5"/>
    <w:basedOn w:val="Normal"/>
    <w:next w:val="Normal"/>
    <w:qFormat/>
    <w:pPr>
      <w:keepNext/>
      <w:keepLines/>
      <w:spacing w:after="100" w:before="220"/>
      <w:outlineLvl w:val="4"/>
    </w:pPr>
    <w:rPr>
      <w:rFonts w:ascii="Aptos" w:cs="Aptos" w:eastAsia="Aptos" w:hAnsi="Aptos"/>
      <w:b/>
      <w:bCs/>
      <w:color w:val="1B3A5C"/>
      <w:sz w:val="24"/>
      <w:szCs w:val="24"/>
    </w:rPr>
  </w:style>
  <w:style w:type="paragraph" w:styleId="Heading6">
    <w:name w:val="Heading 6"/>
    <w:basedOn w:val="Normal"/>
    <w:next w:val="Normal"/>
    <w:qFormat/>
    <w:pPr>
      <w:keepNext/>
      <w:keepLines/>
      <w:spacing w:after="100" w:before="220"/>
      <w:outlineLvl w:val="5"/>
    </w:pPr>
    <w:rPr>
      <w:rFonts w:ascii="Aptos" w:cs="Aptos" w:eastAsia="Aptos" w:hAnsi="Aptos"/>
      <w:b/>
      <w:bCs/>
      <w:color w:val="1B3A5C"/>
      <w:sz w:val="24"/>
      <w:szCs w:val="24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keepNext/>
      <w:keepLines/>
      <w:spacing w:after="160" w:before="240"/>
      <w:outlineLvl w:val="0"/>
    </w:pPr>
    <w:rPr>
      <w:rFonts w:ascii="Aptos" w:cs="Aptos" w:eastAsia="Aptos" w:hAnsi="Aptos"/>
      <w:b/>
      <w:bCs/>
      <w:color w:val="1B3A5C"/>
      <w:sz w:val="32"/>
      <w:szCs w:val="32"/>
    </w:rPr>
  </w:style>
  <w:style w:type="paragraph" w:styleId="Heading2">
    <w:name w:val="Heading 2"/>
    <w:basedOn w:val="Normal"/>
    <w:next w:val="Normal"/>
    <w:qFormat/>
    <w:pPr>
      <w:keepNext/>
      <w:keepLines/>
      <w:spacing w:after="100" w:before="220"/>
      <w:outlineLvl w:val="1"/>
    </w:pPr>
    <w:rPr>
      <w:rFonts w:ascii="Aptos" w:cs="Aptos" w:eastAsia="Aptos" w:hAnsi="Aptos"/>
      <w:b/>
      <w:bCs/>
      <w:color w:val="1B3A5C"/>
      <w:sz w:val="26"/>
      <w:szCs w:val="26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Relationship Id="rId2" Type="http://schemas.openxmlformats.org/officeDocument/2006/relationships/image" Target="media/image2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911 Authority in partnership with IN911</dc:creator>
  <cp:lastModifiedBy/>
  <cp:revision>1</cp:revision>
  <dcterms:created xsi:type="dcterms:W3CDTF">2026-06-01T15:29:11.487Z</dcterms:created>
  <dcterms:modified xsi:type="dcterms:W3CDTF">2026-06-01T15:29:11.487Z</dcterms:modified>
  <dc:title xmlns:dc="http://purl.org/dc/elements/1.1/">Endpoint Hardening Checklist - EXAMPLE - S</dc:title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