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Key Escrow and Recovery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2026-03-01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2027-03-01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procedure defines how Wabash Valley Communications backs up or escrows cryptographic keys and recovers them when a key custodian is unavailable or a system fails, so encrypted Agency data and operations remain recoverable during outages and disaster recovery. It implements the Key &amp; Certificate Management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the key custodians, their backup custodians, and the IT roles that operate escrow and recovery, and any second approver required for dual-control retrieval.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cryptographic keys that protect Agency data at rest, backups, and services, including keys for special uses such as log-integrity signing and device certificates; escrow or backup of those keys and their recovery.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keys the State or another agency escrows for systems the Agency does not operate, including State-maintained IDACS cryptography. 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Key &amp; Certificate Management Policy is in force and the Key Inventory &amp; Custody Records name each key's custodian and backup custodian.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 protected escrow store (for example, a sealed offline copy or a key-management system) exists, separate from the systems the keys protect.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Dual-control roles for retrieval are designated, so no single person can recover a key alone.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Escrow and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When a key is generated or rotated, the custodian places a recovery copy into the escrow store under the Key &amp; Certificate Management Policy.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confirms the escrowed copy is complete and readable, and records its location and the date in the Key Inventory &amp; Custody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store is protected so only the custodian and backup custodian can reach it, and access is reviewed periodically.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Recovery and retrieval (dual control)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 a custodian absence, system failure, or disaster-recovery event, the requester states the key needed and the reason for recovery.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Shared County IT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Two authorized holders (custodian or backup custodian and a second approver) retrieve the escrowed key together under dual control; neither acts alone.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Key custodian + Security Coordinator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restores the key to the recovering system, confirms encrypted data and services are available, and records the retrieval, the reason, and the two approvers.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Post-recovery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reviews whether the recovered key should be rotated after use, and rotates it under the Key Rotation Schedule if the recovery indicates possible exposure.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copy is refreshed to match the current key, and the record is updated.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The Agency can show, for each key, a current escrowed copy and its location, and can demonstrate a dual-control recovery during a disaster-recovery test that restores encrypted data within the Agency's recovery-time objective. Every retrieval names two approvers and a reason.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Key &amp; Certificate Management Policy; Key Inventory &amp; Custody Records; Key Rotation Schedule; Continuity of Operations Plan (COOP); Restoration Test Records; System Redundancy Design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One or two keys matter. The custodian keeps a sealed recovery copy off the machine (for example, a sealed envelope in a locked location or a second encrypted copy held by the county), and a second trusted person is named to help retrieve it. Recovery is tested when backups are tested.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§6.23.7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CP-9, SC-12, SC-12(1)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2026-03-01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Key Escrow and Recovery Procedure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