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SIEM / Monitoring Tool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record documents the as-built configuration of the Agency’s central security monitoring: the SIEM and other monitoring tools, the log sources they ingest, and the correlation rules that run on them. Scope is the central monitoring platform only. Per-system session capture is documented in the Session Monitoring Configuration Records, and sensor configuration in the IDS/IPS Configuration Records. This record implements the Continuous Monitoring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Splunk Enterprise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On-prem, dual-center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AST-402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Log retention period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12 months online, 3 years archive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per the Log Retention Schedule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Correlation rules enabled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120 correlation rules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tuned to ECC patterns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Alerting thresholds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tuned per data source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feeds the Alert Triage &amp; Escalation Procedure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Time source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Stratum-1 GPS clock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per the NTP Configuration Documentation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3A. Log Sources Ingested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Source system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Ingested (Y / 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Events captured / owner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Firewall / perimeter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allow/deny, config changes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IDS / IPS sensors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alerts; see IDS/IPS Configuration Records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DNS servers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Session / authentication events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Endpoint / EDR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Key-management / certificate systems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events captured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Log retention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12 months online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Correlation ruleset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Baseline plus ECC-tuned rules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Validated against the Continuous Monitoring Plan at least quarterly by the IT Team; tuning changes and new log sources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managed SIEM with broad log-source coverage, tuned correlation rules, and defined retention. This record is the as-built evidence, reconciled at each review.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§5.6.2 (Security Event Logging); §5.6.3 (Information and Event Management);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AU-7, AU-12, SI-4, SI-4(2)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§5.4 (Auditing and Accountability; where IDACS-connected sources feed the platform)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Sam Whitfield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Sam Whitfield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-river-regional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SIEM / Monitoring Tool Configuration Records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