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SIEM / Monitoring Tool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record documents the as-built configuration of the Agency’s central security monitoring: the SIEM and other monitoring tools, the log sources they ingest, and the correlation rules that run on them. Scope is the central monitoring platform only. Per-system session capture is documented in the Session Monitoring Configuration Records, and sensor configuration in the IDS/IPS Configuration Records. This record implements the Continuous Monitoring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Fortinet FortiAnalyzer (hosted)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On-prem, county IT room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AST-041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Log retention period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90 days online, 1 year archive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per the Log Retention Schedule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Correlation rules enabled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18 correlation rules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tuned to ECC patterns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Alerting thresholds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5 failed logins in 10 minutes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feeds the Alert Triage &amp; Escalation Procedure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Time source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NTP (GPS-backed)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per the NTP Configuration Documentation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3A. Log Sources Ingested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Source system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Ingested (Y / 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Events captured / owner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Firewall / perimeter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allow/deny, config changes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IDS / IPS sensors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alerts; see IDS/IPS Configuration Records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DNS servers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Session / authentication events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Endpoint / EDR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Key-management / certificate systems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Log retention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90 days online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TLS on log ingest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TLS 1.2 or higher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Validated against the Continuous Monitoring Plan at least quarterly by the County IT; tuning changes and new log sources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 SIEM is expected. Record what monitoring exists (router, firewall, endpoint anti-malware alerts) and where those logs go. The manual equivalent is a documented weekly review of the available logs, noted here.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§5.6.2 (Security Event Logging); §5.6.3 (Information and Event Management);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AU-7, AU-12, SI-4, SI-4(2)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§5.4 (Auditing and Accountability; where IDACS-connected sources feed the platform)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-county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SIEM / Monitoring Tool Configuration Records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