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Event Review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0"/>
                <w:iCs w:val="false"/>
                <w:sz w:val="24"/>
                <w:szCs w:val="24"/>
              </w:rPr>
              <w:t xml:space="preserve">Authority: </w:t>
            </w:r>
            <w:r>
              <w:rPr>
                <w:rFonts w:ascii="Aptos" w:cs="Aptos" w:eastAsia="Aptos" w:hAnsi="Aptos"/>
                <w:b w:val="0"/>
                <w:i w:val="0"/>
                <w:iCs w:val="false"/>
                <w:sz w:val="24"/>
                <w:szCs w:val="24"/>
              </w:rPr>
              <w:t xml:space="preserve">Adopted by Hickory County 911 under the authority of </w:t>
            </w:r>
            <w:r>
              <w:rPr>
                <w:rFonts w:ascii="Aptos" w:cs="Aptos" w:eastAsia="Aptos" w:hAnsi="Aptos"/>
                <w:b w:val="0"/>
                <w:i w:val="0"/>
                <w:iCs w:val="false"/>
                <w:sz w:val="24"/>
                <w:szCs w:val="24"/>
              </w:rPr>
              <w:t xml:space="preserve">Tracy Holloway, Director</w:t>
            </w:r>
            <w:r>
              <w:rPr>
                <w:rFonts w:ascii="Aptos" w:cs="Aptos" w:eastAsia="Aptos" w:hAnsi="Aptos"/>
                <w:b w:val="0"/>
                <w:i w:val="0"/>
                <w:iCs w:val="false"/>
                <w:sz w:val="24"/>
                <w:szCs w:val="24"/>
              </w:rPr>
              <w:t xml:space="preserve">.</w:t>
            </w:r>
          </w:p>
          <w:p>
            <w:pPr>
              <w:spacing w:after="60"/>
            </w:pPr>
            <w:r>
              <w:rPr>
                <w:rFonts w:ascii="Aptos" w:cs="Aptos" w:eastAsia="Aptos" w:hAnsi="Aptos"/>
                <w:b/>
                <w:bCs/>
                <w:i w:val="0"/>
                <w:iCs w:val="false"/>
                <w:sz w:val="24"/>
                <w:szCs w:val="24"/>
              </w:rPr>
              <w:t xml:space="preserve">Version: </w:t>
            </w:r>
            <w:r>
              <w:rPr>
                <w:rFonts w:ascii="Aptos" w:cs="Aptos" w:eastAsia="Aptos" w:hAnsi="Aptos"/>
                <w:b w:val="0"/>
                <w:bCs/>
                <w:i w:val="0"/>
                <w:iCs w:val="false"/>
                <w:sz w:val="24"/>
                <w:szCs w:val="24"/>
              </w:rPr>
              <w:t xml:space="preserve">1.0    </w:t>
            </w:r>
            <w:r>
              <w:rPr>
                <w:rFonts w:ascii="Aptos" w:cs="Aptos" w:eastAsia="Aptos" w:hAnsi="Aptos"/>
                <w:b/>
                <w:bCs/>
                <w:i w:val="0"/>
                <w:iCs w:val="false"/>
                <w:sz w:val="24"/>
                <w:szCs w:val="24"/>
              </w:rPr>
              <w:t xml:space="preserve">Effective Date: </w:t>
            </w:r>
            <w:r>
              <w:rPr>
                <w:rFonts w:ascii="Aptos" w:cs="Aptos" w:eastAsia="Aptos" w:hAnsi="Aptos"/>
                <w:b w:val="0"/>
                <w:bCs/>
                <w:i w:val="0"/>
                <w:iCs w:val="false"/>
                <w:sz w:val="24"/>
                <w:szCs w:val="24"/>
              </w:rPr>
              <w:t xml:space="preserve">2026-02-10    </w:t>
            </w:r>
            <w:r>
              <w:rPr>
                <w:rFonts w:ascii="Aptos" w:cs="Aptos" w:eastAsia="Aptos" w:hAnsi="Aptos"/>
                <w:b/>
                <w:bCs/>
                <w:i w:val="0"/>
                <w:iCs w:val="false"/>
                <w:sz w:val="24"/>
                <w:szCs w:val="24"/>
              </w:rPr>
              <w:t xml:space="preserve">Next Review: </w:t>
            </w:r>
            <w:r>
              <w:rPr>
                <w:rFonts w:ascii="Aptos" w:cs="Aptos" w:eastAsia="Aptos" w:hAnsi="Aptos"/>
                <w:b w:val="0"/>
                <w:bCs/>
                <w:i w:val="0"/>
                <w:iCs w:val="false"/>
                <w:sz w:val="24"/>
                <w:szCs w:val="24"/>
              </w:rPr>
              <w:t xml:space="preserve">2027-02-10</w:t>
            </w:r>
          </w:p>
          <w:p>
            <w:pPr>
              <w:spacing w:after="60"/>
            </w:pPr>
            <w:r>
              <w:rPr>
                <w:rFonts w:ascii="Aptos" w:cs="Aptos" w:eastAsia="Aptos" w:hAnsi="Aptos"/>
                <w:b/>
                <w:bCs/>
                <w:i w:val="0"/>
                <w:iCs w:val="false"/>
                <w:sz w:val="24"/>
                <w:szCs w:val="24"/>
              </w:rPr>
              <w:t xml:space="preserve">Owner: </w:t>
            </w:r>
            <w:r>
              <w:rPr>
                <w:rFonts w:ascii="Aptos" w:cs="Aptos" w:eastAsia="Aptos" w:hAnsi="Aptos"/>
                <w:b w:val="0"/>
                <w:bCs/>
                <w:i w:val="0"/>
                <w:iCs w:val="false"/>
                <w:sz w:val="24"/>
                <w:szCs w:val="24"/>
              </w:rPr>
              <w:t xml:space="preserve">Director</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0"/>
          <w:iCs w:val="false"/>
          <w:sz w:val="24"/>
          <w:szCs w:val="24"/>
        </w:rPr>
        <w:t xml:space="preserve">This procedure defines how the Agency reviews aggregated security-event data on a schedule, beyond responding to individual alerts. It sets the cadence, the data in scope, what reviewers look for, and how anomalies that could affect emergency operations are investigated and escalated. It governs the security event-review meeting.</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0"/>
          <w:iCs w:val="false"/>
          <w:sz w:val="24"/>
          <w:szCs w:val="24"/>
        </w:rPr>
        <w:t xml:space="preserve">Applies to: [personnel who review aggregated security-event data: security coordinator / SOC, IT support].</w:t>
      </w:r>
    </w:p>
    <w:p>
      <w:pPr>
        <w:pStyle w:val="ListParagraph"/>
        <w:numPr>
          <w:ilvl w:val="0"/>
          <w:numId w:val="2"/>
        </w:numPr>
        <w:spacing w:after="60"/>
      </w:pPr>
      <w:r>
        <w:rPr>
          <w:rFonts w:ascii="Aptos" w:cs="Aptos" w:eastAsia="Aptos" w:hAnsi="Aptos"/>
          <w:b w:val="false"/>
          <w:bCs w:val="false"/>
          <w:i w:val="0"/>
          <w:iCs w:val="false"/>
          <w:sz w:val="24"/>
          <w:szCs w:val="24"/>
        </w:rPr>
        <w:t xml:space="preserve">Covers: scheduled review of aggregated logs and monitoring data across the Agency’s in-scope systems.</w:t>
      </w:r>
    </w:p>
    <w:p>
      <w:pPr>
        <w:pStyle w:val="ListParagraph"/>
        <w:numPr>
          <w:ilvl w:val="0"/>
          <w:numId w:val="2"/>
        </w:numPr>
        <w:spacing w:after="60"/>
      </w:pPr>
      <w:r>
        <w:rPr>
          <w:rFonts w:ascii="Aptos" w:cs="Aptos" w:eastAsia="Aptos" w:hAnsi="Aptos"/>
          <w:b w:val="false"/>
          <w:bCs w:val="false"/>
          <w:i w:val="0"/>
          <w:iCs w:val="false"/>
          <w:sz w:val="24"/>
          <w:szCs w:val="24"/>
        </w:rPr>
        <w:t xml:space="preserve">Excludes: real-time alert triage, which follows the Alert Triage &amp; Escalation Procedure; routine per-source log review, recorded in the Log Review Records.</w:t>
      </w:r>
    </w:p>
    <w:p>
      <w:pPr>
        <w:pStyle w:val="Heading2"/>
        <w:spacing w:after="100" w:before="220"/>
      </w:pPr>
      <w:r>
        <w:rPr>
          <w:rFonts w:ascii="Aptos" w:cs="Aptos" w:eastAsia="Aptos" w:hAnsi="Aptos"/>
          <w:b/>
          <w:bCs/>
          <w:color w:val="1B3A5C"/>
          <w:sz w:val="26"/>
          <w:szCs w:val="26"/>
        </w:rPr>
        <w:t xml:space="preserve">3. Review Scope and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 source in scope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 frequency</w:t>
            </w:r>
          </w:p>
        </w:tc>
        <w:tc>
          <w:tcPr>
            <w:tcW w:type="dxa" w:w="2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Reviewer role</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 and access logs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and router logs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Configuration changes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Monthly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support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Endpoint alerts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bl>
    <w:p>
      <w:pPr>
        <w:pStyle w:val="Heading2"/>
        <w:spacing w:after="100" w:before="220"/>
      </w:pPr>
      <w:r>
        <w:rPr>
          <w:rFonts w:ascii="Aptos" w:cs="Aptos" w:eastAsia="Aptos" w:hAnsi="Aptos"/>
          <w:b/>
          <w:bCs/>
          <w:color w:val="1B3A5C"/>
          <w:sz w:val="26"/>
          <w:szCs w:val="26"/>
        </w:rPr>
        <w:t xml:space="preserve">4. Review Indicators</w:t>
      </w:r>
    </w:p>
    <w:p>
      <w:pPr>
        <w:spacing w:after="120" w:before="0"/>
      </w:pPr>
      <w:r>
        <w:rPr>
          <w:rFonts w:ascii="Aptos" w:cs="Aptos" w:eastAsia="Aptos" w:hAnsi="Aptos"/>
          <w:b w:val="false"/>
          <w:bCs w:val="false"/>
          <w:i w:val="0"/>
          <w:iCs w:val="false"/>
          <w:sz w:val="24"/>
          <w:szCs w:val="24"/>
        </w:rPr>
        <w:t xml:space="preserve">Unusual or failed logins, and access outside normal hours or roles.</w:t>
      </w:r>
    </w:p>
    <w:p>
      <w:pPr>
        <w:spacing w:after="120" w:before="0"/>
      </w:pPr>
      <w:r>
        <w:rPr>
          <w:rFonts w:ascii="Aptos" w:cs="Aptos" w:eastAsia="Aptos" w:hAnsi="Aptos"/>
          <w:b w:val="false"/>
          <w:bCs w:val="false"/>
          <w:i w:val="0"/>
          <w:iCs w:val="false"/>
          <w:sz w:val="24"/>
          <w:szCs w:val="24"/>
        </w:rPr>
        <w:t xml:space="preserve">Access to sensitive data that does not match a business need.</w:t>
      </w:r>
    </w:p>
    <w:p>
      <w:pPr>
        <w:spacing w:after="120" w:before="0"/>
      </w:pPr>
      <w:r>
        <w:rPr>
          <w:rFonts w:ascii="Aptos" w:cs="Aptos" w:eastAsia="Aptos" w:hAnsi="Aptos"/>
          <w:b w:val="false"/>
          <w:bCs w:val="false"/>
          <w:i w:val="0"/>
          <w:iCs w:val="false"/>
          <w:sz w:val="24"/>
          <w:szCs w:val="24"/>
        </w:rPr>
        <w:t xml:space="preserve">Configuration changes that were not approved.</w:t>
      </w:r>
    </w:p>
    <w:p>
      <w:pPr>
        <w:spacing w:after="120" w:before="0"/>
      </w:pPr>
      <w:r>
        <w:rPr>
          <w:rFonts w:ascii="Aptos" w:cs="Aptos" w:eastAsia="Aptos" w:hAnsi="Aptos"/>
          <w:b w:val="false"/>
          <w:bCs w:val="false"/>
          <w:i w:val="0"/>
          <w:iCs w:val="false"/>
          <w:sz w:val="24"/>
          <w:szCs w:val="24"/>
        </w:rPr>
        <w:t xml:space="preserve">Indicators of intrusion, malware, or denial of service that could affect emergency operations.</w:t>
      </w:r>
    </w:p>
    <w:p>
      <w:pPr>
        <w:pStyle w:val="Heading2"/>
        <w:spacing w:after="100" w:before="220"/>
      </w:pPr>
      <w:r>
        <w:rPr>
          <w:rFonts w:ascii="Aptos" w:cs="Aptos" w:eastAsia="Aptos" w:hAnsi="Aptos"/>
          <w:b/>
          <w:bCs/>
          <w:color w:val="1B3A5C"/>
          <w:sz w:val="26"/>
          <w:szCs w:val="26"/>
        </w:rPr>
        <w:t xml:space="preserve">5. Prerequisites</w:t>
      </w:r>
    </w:p>
    <w:p>
      <w:pPr>
        <w:pStyle w:val="ListParagraph"/>
        <w:numPr>
          <w:ilvl w:val="0"/>
          <w:numId w:val="3"/>
        </w:numPr>
        <w:spacing w:after="60"/>
      </w:pPr>
      <w:r>
        <w:rPr>
          <w:rFonts w:ascii="Aptos" w:cs="Aptos" w:eastAsia="Aptos" w:hAnsi="Aptos"/>
          <w:b w:val="false"/>
          <w:bCs w:val="false"/>
          <w:i w:val="0"/>
          <w:iCs w:val="false"/>
          <w:sz w:val="24"/>
          <w:szCs w:val="24"/>
        </w:rPr>
        <w:t xml:space="preserve">Access to the SIEM and the monitoring consoles.</w:t>
      </w:r>
    </w:p>
    <w:p>
      <w:pPr>
        <w:pStyle w:val="ListParagraph"/>
        <w:numPr>
          <w:ilvl w:val="0"/>
          <w:numId w:val="3"/>
        </w:numPr>
        <w:spacing w:after="60"/>
      </w:pPr>
      <w:r>
        <w:rPr>
          <w:rFonts w:ascii="Aptos" w:cs="Aptos" w:eastAsia="Aptos" w:hAnsi="Aptos"/>
          <w:b w:val="false"/>
          <w:bCs w:val="false"/>
          <w:i w:val="0"/>
          <w:iCs w:val="false"/>
          <w:sz w:val="24"/>
          <w:szCs w:val="24"/>
        </w:rPr>
        <w:t xml:space="preserve">The Continuous Monitoring Plan defines what is in monitoring scope.</w:t>
      </w:r>
    </w:p>
    <w:p>
      <w:pPr>
        <w:pStyle w:val="ListParagraph"/>
        <w:numPr>
          <w:ilvl w:val="0"/>
          <w:numId w:val="3"/>
        </w:numPr>
        <w:spacing w:after="60"/>
      </w:pPr>
      <w:r>
        <w:rPr>
          <w:rFonts w:ascii="Aptos" w:cs="Aptos" w:eastAsia="Aptos" w:hAnsi="Aptos"/>
          <w:b w:val="false"/>
          <w:bCs w:val="false"/>
          <w:i w:val="0"/>
          <w:iCs w:val="false"/>
          <w:sz w:val="24"/>
          <w:szCs w:val="24"/>
        </w:rPr>
        <w:t xml:space="preserve">The Incident Classification &amp; Severity Matrix and the Alert Triage &amp; Escalation Procedure are current.</w:t>
      </w:r>
    </w:p>
    <w:p>
      <w:pPr>
        <w:pStyle w:val="Heading2"/>
        <w:spacing w:after="100" w:before="220"/>
      </w:pPr>
      <w:r>
        <w:rPr>
          <w:rFonts w:ascii="Aptos" w:cs="Aptos" w:eastAsia="Aptos" w:hAnsi="Aptos"/>
          <w:b/>
          <w:bCs/>
          <w:color w:val="1B3A5C"/>
          <w:sz w:val="26"/>
          <w:szCs w:val="26"/>
        </w:rPr>
        <w:t xml:space="preserve">6.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Assemble the aggregated event data for the review period from the sources in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data against the indicators above; note anomalies and trends.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 an anomaly that needs action, hand it to the Alert Triage &amp; Escalation Procedure, and set severity from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review, the significant findings, and the actions in the Event Review Meeting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any finding to closure in the Risk / Finding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bl>
    <w:p>
      <w:pPr>
        <w:pStyle w:val="Heading2"/>
        <w:spacing w:after="100" w:before="220"/>
      </w:pPr>
      <w:r>
        <w:rPr>
          <w:rFonts w:ascii="Aptos" w:cs="Aptos" w:eastAsia="Aptos" w:hAnsi="Aptos"/>
          <w:b/>
          <w:bCs/>
          <w:color w:val="1B3A5C"/>
          <w:sz w:val="26"/>
          <w:szCs w:val="26"/>
        </w:rPr>
        <w:t xml:space="preserve">7. Verification Criteria</w:t>
      </w:r>
    </w:p>
    <w:p>
      <w:pPr>
        <w:spacing w:after="120" w:before="0"/>
      </w:pPr>
      <w:r>
        <w:rPr>
          <w:rFonts w:ascii="Aptos" w:cs="Aptos" w:eastAsia="Aptos" w:hAnsi="Aptos"/>
          <w:b w:val="false"/>
          <w:bCs w:val="false"/>
          <w:i w:val="0"/>
          <w:iCs w:val="false"/>
          <w:sz w:val="24"/>
          <w:szCs w:val="24"/>
        </w:rPr>
        <w:t xml:space="preserve">Each scheduled review has a dated record naming the reviewer, the sources examined, the indicators checked, and the disposition of any anomaly.</w:t>
      </w:r>
    </w:p>
    <w:p>
      <w:pPr>
        <w:pStyle w:val="Heading2"/>
        <w:spacing w:after="100" w:before="220"/>
      </w:pPr>
      <w:r>
        <w:rPr>
          <w:rFonts w:ascii="Aptos" w:cs="Aptos" w:eastAsia="Aptos" w:hAnsi="Aptos"/>
          <w:b/>
          <w:bCs/>
          <w:color w:val="1B3A5C"/>
          <w:sz w:val="26"/>
          <w:szCs w:val="26"/>
        </w:rPr>
        <w:t xml:space="preserve">8. Related Documents</w:t>
      </w:r>
    </w:p>
    <w:p>
      <w:pPr>
        <w:spacing w:after="120" w:before="0"/>
      </w:pPr>
      <w:r>
        <w:rPr>
          <w:rFonts w:ascii="Aptos" w:cs="Aptos" w:eastAsia="Aptos" w:hAnsi="Aptos"/>
          <w:b w:val="false"/>
          <w:bCs w:val="false"/>
          <w:i w:val="0"/>
          <w:iCs w:val="false"/>
          <w:sz w:val="24"/>
          <w:szCs w:val="24"/>
        </w:rPr>
        <w:t xml:space="preserve">Continuous Monitoring Plan; SIEM / Monitoring Tool Configuration Records; Log Review Records; Alert Triage &amp; Escalation Procedure; Incident Classification &amp; Severity Matrix; Event Review Meeting Records; Risk / Finding Register (POA&amp;M).</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or a designated dispatcher reviews the key logs on a set day each week, looking for failed logins and anything unusual, and records the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 (Continuous Monitoring); §5.6.3 (Information and Event Management); §5.6.4 (Intrusion Monitoring and Detection)</w:t>
            </w:r>
          </w:p>
          <w:p>
            <w:pPr>
              <w:spacing w:after="40" w:before="0"/>
            </w:pPr>
            <w:r>
              <w:rPr>
                <w:rFonts w:ascii="Aptos" w:cs="Aptos" w:eastAsia="Aptos" w:hAnsi="Aptos"/>
                <w:b w:val="0"/>
                <w:bCs w:val="false"/>
                <w:i w:val="0"/>
                <w:iCs w:val="false"/>
                <w:sz w:val="24"/>
                <w:szCs w:val="24"/>
              </w:rPr>
              <w:t xml:space="preserve">NIST SP 800-53 Rev. 5: AU-6, AU-7, CA-7, SI-4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Security Event Review Procedures - EXAMPLE - S</dc:title>
</cp:coreProperties>
</file>

<file path=docProps/custom.xml><?xml version="1.0" encoding="utf-8"?>
<Properties xmlns="http://schemas.openxmlformats.org/officeDocument/2006/custom-properties" xmlns:vt="http://schemas.openxmlformats.org/officeDocument/2006/docPropsVTypes"/>
</file>