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Controlled Area / Zone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sz w:val="24"/>
              </w:rPr>
              <w:t xml:space="preserve">Authority: </w:t>
            </w:r>
            <w:r>
              <w:rPr>
                <w:rFonts w:ascii="Aptos" w:hAnsi="Aptos"/>
                <w:b w:val="0"/>
                <w:sz w:val="24"/>
              </w:rPr>
              <w:t>Adopted by Tri-River Regional 911 Center under the authority of Dr. Lisa Park, Director.</w:t>
            </w:r>
          </w:p>
          <w:p>
            <w:pPr>
              <w:spacing w:after="60"/>
            </w:pPr>
            <w:r>
              <w:rPr>
                <w:rFonts w:ascii="Aptos" w:hAnsi="Aptos"/>
                <w:b/>
                <w:sz w:val="24"/>
              </w:rPr>
              <w:t xml:space="preserve">Version: </w:t>
            </w:r>
            <w:r>
              <w:rPr>
                <w:rFonts w:ascii="Aptos" w:hAnsi="Aptos"/>
                <w:b w:val="0"/>
                <w:sz w:val="24"/>
              </w:rPr>
              <w:t xml:space="preserve">1.0    </w:t>
            </w:r>
            <w:r>
              <w:rPr>
                <w:rFonts w:ascii="Aptos" w:hAnsi="Aptos"/>
                <w:b/>
                <w:sz w:val="24"/>
              </w:rPr>
              <w:t xml:space="preserve">Effective Date: </w:t>
            </w:r>
            <w:r>
              <w:rPr>
                <w:rFonts w:ascii="Aptos" w:hAnsi="Aptos"/>
                <w:b w:val="0"/>
                <w:sz w:val="24"/>
              </w:rPr>
              <w:t xml:space="preserve">March 2, 2026    </w:t>
            </w:r>
            <w:r>
              <w:rPr>
                <w:rFonts w:ascii="Aptos" w:hAnsi="Aptos"/>
                <w:b/>
                <w:sz w:val="24"/>
              </w:rPr>
              <w:t xml:space="preserve">Next Review: </w:t>
            </w:r>
            <w:r>
              <w:rPr>
                <w:rFonts w:ascii="Aptos" w:hAnsi="Aptos"/>
                <w:b w:val="0"/>
                <w:sz w:val="24"/>
              </w:rPr>
              <w:t>March 2, 2027</w:t>
            </w:r>
          </w:p>
          <w:p>
            <w:pPr>
              <w:spacing w:after="60"/>
            </w:pPr>
            <w:r>
              <w:rPr>
                <w:rFonts w:ascii="Aptos" w:hAnsi="Aptos"/>
                <w:b/>
                <w:sz w:val="24"/>
              </w:rPr>
              <w:t xml:space="preserve">Owner: </w:t>
            </w:r>
            <w:r>
              <w:rPr>
                <w:rFonts w:ascii="Aptos" w:hAnsi="Aptos"/>
                <w:b w:val="0"/>
                <w:sz w:val="24"/>
              </w:rPr>
              <w:t>Information Security Analyst</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0"/>
          <w:bCs w:val="false"/>
          <w:i w:val="false"/>
          <w:iCs w:val="false"/>
          <w:sz w:val="24"/>
          <w:szCs w:val="24"/>
        </w:rPr>
        <w:t>This map shows the Agency’s controlled areas and security zones, the access level required for each, and where critical systems and equipment sit. It supports decisions about who may enter which space and where to place sensitive equipment.</w:t>
      </w:r>
    </w:p>
    <w:p>
      <w:pPr>
        <w:pStyle w:val="Heading2"/>
        <w:spacing w:after="100" w:before="220"/>
      </w:pPr>
      <w:r>
        <w:rPr>
          <w:rFonts w:ascii="Aptos" w:cs="Aptos" w:eastAsia="Aptos" w:hAnsi="Aptos"/>
          <w:b/>
          <w:bCs/>
          <w:color w:val="1B3A5C"/>
          <w:sz w:val="26"/>
          <w:szCs w:val="26"/>
        </w:rPr>
        <w:t xml:space="preserve">2.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20"/>
              <w:jc w:val="center"/>
            </w:pPr>
            <w:r>
              <w:drawing>
                <wp:inline xmlns:a="http://schemas.openxmlformats.org/drawingml/2006/main" xmlns:pic="http://schemas.openxmlformats.org/drawingml/2006/picture">
                  <wp:extent cx="5212080" cy="2653423"/>
                  <wp:docPr id="1" name="Picture 1"/>
                  <wp:cNvGraphicFramePr>
                    <a:graphicFrameLocks noChangeAspect="1"/>
                  </wp:cNvGraphicFramePr>
                  <a:graphic>
                    <a:graphicData uri="http://schemas.openxmlformats.org/drawingml/2006/picture">
                      <pic:pic>
                        <pic:nvPicPr>
                          <pic:cNvPr id="0" name="zone_L.png"/>
                          <pic:cNvPicPr/>
                        </pic:nvPicPr>
                        <pic:blipFill>
                          <a:blip r:embed="rId10"/>
                          <a:stretch>
                            <a:fillRect/>
                          </a:stretch>
                        </pic:blipFill>
                        <pic:spPr>
                          <a:xfrm>
                            <a:off x="0" y="0"/>
                            <a:ext cx="5212080" cy="2653423"/>
                          </a:xfrm>
                          <a:prstGeom prst="rect"/>
                        </pic:spPr>
                      </pic:pic>
                    </a:graphicData>
                  </a:graphic>
                </wp:inline>
              </w:drawing>
            </w:r>
          </w:p>
          <w:p>
            <w:pPr>
              <w:spacing w:after="220"/>
            </w:pPr>
          </w:p>
        </w:tc>
      </w:tr>
    </w:tbl>
    <w:p>
      <w:pPr>
        <w:pStyle w:val="Heading2"/>
        <w:spacing w:after="100" w:before="220"/>
      </w:pPr>
      <w:r>
        <w:rPr>
          <w:rFonts w:ascii="Aptos" w:cs="Aptos" w:eastAsia="Aptos" w:hAnsi="Aptos"/>
          <w:b/>
          <w:bCs/>
          <w:color w:val="1B3A5C"/>
          <w:sz w:val="26"/>
          <w:szCs w:val="26"/>
        </w:rPr>
        <w:t>3. Zone / Area Descriptions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cantSplit/>
        </w:trPr>
        <w:tc>
          <w:tcPr>
            <w:tcW w:type="dxa" w:w="2160"/>
            <w:shd w:val="clear" w:fill="1B3A5C"/>
          </w:tcPr>
          <w:p>
            <w:r>
              <w:rPr>
                <w:rFonts w:ascii="Aptos" w:hAnsi="Aptos"/>
                <w:b/>
                <w:color w:val="FFFFFF"/>
                <w:sz w:val="24"/>
              </w:rPr>
              <w:t>Zone / Area</w:t>
            </w:r>
          </w:p>
        </w:tc>
        <w:tc>
          <w:tcPr>
            <w:tcW w:type="dxa" w:w="3168"/>
            <w:shd w:val="clear" w:fill="1B3A5C"/>
          </w:tcPr>
          <w:p>
            <w:r>
              <w:rPr>
                <w:rFonts w:ascii="Aptos" w:hAnsi="Aptos"/>
                <w:b/>
                <w:color w:val="FFFFFF"/>
                <w:sz w:val="24"/>
              </w:rPr>
              <w:t>Access Level (who may enter / credential)</w:t>
            </w:r>
          </w:p>
        </w:tc>
        <w:tc>
          <w:tcPr>
            <w:tcW w:type="dxa" w:w="2736"/>
            <w:shd w:val="clear" w:fill="1B3A5C"/>
          </w:tcPr>
          <w:p>
            <w:r>
              <w:rPr>
                <w:rFonts w:ascii="Aptos" w:hAnsi="Aptos"/>
                <w:b/>
                <w:color w:val="FFFFFF"/>
                <w:sz w:val="24"/>
              </w:rPr>
              <w:t>Critical Systems Housed</w:t>
            </w:r>
          </w:p>
        </w:tc>
        <w:tc>
          <w:tcPr>
            <w:tcW w:type="dxa" w:w="1728"/>
            <w:shd w:val="clear" w:fill="1B3A5C"/>
          </w:tcPr>
          <w:p>
            <w:r>
              <w:rPr>
                <w:rFonts w:ascii="Aptos" w:hAnsi="Aptos"/>
                <w:b/>
                <w:color w:val="FFFFFF"/>
                <w:sz w:val="24"/>
              </w:rPr>
              <w:t>Owner (Role)</w:t>
            </w:r>
          </w:p>
        </w:tc>
      </w:tr>
      <w:tr>
        <w:trPr>
          <w:cantSplit/>
        </w:trPr>
        <w:tc>
          <w:tcPr>
            <w:tcW w:type="dxa" w:w="2160"/>
          </w:tcPr>
          <w:p>
            <w:r>
              <w:rPr>
                <w:rFonts w:ascii="Aptos" w:hAnsi="Aptos"/>
                <w:b w:val="0"/>
                <w:sz w:val="24"/>
              </w:rPr>
              <w:t>Public lobby / reception</w:t>
            </w:r>
          </w:p>
        </w:tc>
        <w:tc>
          <w:tcPr>
            <w:tcW w:type="dxa" w:w="3168"/>
          </w:tcPr>
          <w:p>
            <w:r>
              <w:rPr>
                <w:rFonts w:ascii="Aptos" w:hAnsi="Aptos"/>
                <w:b w:val="0"/>
                <w:sz w:val="24"/>
              </w:rPr>
              <w:t>Public; no credential</w:t>
            </w:r>
          </w:p>
        </w:tc>
        <w:tc>
          <w:tcPr>
            <w:tcW w:type="dxa" w:w="2736"/>
          </w:tcPr>
          <w:p>
            <w:r>
              <w:rPr>
                <w:rFonts w:ascii="Aptos" w:hAnsi="Aptos"/>
                <w:b w:val="0"/>
                <w:sz w:val="24"/>
              </w:rPr>
              <w:t>None</w:t>
            </w:r>
          </w:p>
        </w:tc>
        <w:tc>
          <w:tcPr>
            <w:tcW w:type="dxa" w:w="1728"/>
          </w:tcPr>
          <w:p>
            <w:r>
              <w:rPr>
                <w:rFonts w:ascii="Aptos" w:hAnsi="Aptos"/>
                <w:b w:val="0"/>
                <w:sz w:val="24"/>
              </w:rPr>
              <w:t>Facilities &amp; Security Lead</w:t>
            </w:r>
          </w:p>
        </w:tc>
      </w:tr>
      <w:tr>
        <w:trPr>
          <w:cantSplit/>
        </w:trPr>
        <w:tc>
          <w:tcPr>
            <w:tcW w:type="dxa" w:w="2160"/>
          </w:tcPr>
          <w:p>
            <w:r>
              <w:rPr>
                <w:rFonts w:ascii="Aptos" w:hAnsi="Aptos"/>
                <w:b w:val="0"/>
                <w:sz w:val="24"/>
              </w:rPr>
              <w:t>Dispatch floor</w:t>
            </w:r>
          </w:p>
        </w:tc>
        <w:tc>
          <w:tcPr>
            <w:tcW w:type="dxa" w:w="3168"/>
          </w:tcPr>
          <w:p>
            <w:r>
              <w:rPr>
                <w:rFonts w:ascii="Aptos" w:hAnsi="Aptos"/>
                <w:b w:val="0"/>
                <w:sz w:val="24"/>
              </w:rPr>
              <w:t>Badge (access group A)</w:t>
            </w:r>
          </w:p>
        </w:tc>
        <w:tc>
          <w:tcPr>
            <w:tcW w:type="dxa" w:w="2736"/>
          </w:tcPr>
          <w:p>
            <w:r>
              <w:rPr>
                <w:rFonts w:ascii="Aptos" w:hAnsi="Aptos"/>
                <w:b w:val="0"/>
                <w:sz w:val="24"/>
              </w:rPr>
              <w:t>CAD, RMS, GIS, video, ALI workstations</w:t>
            </w:r>
          </w:p>
        </w:tc>
        <w:tc>
          <w:tcPr>
            <w:tcW w:type="dxa" w:w="1728"/>
          </w:tcPr>
          <w:p>
            <w:r>
              <w:rPr>
                <w:rFonts w:ascii="Aptos" w:hAnsi="Aptos"/>
                <w:b w:val="0"/>
                <w:sz w:val="24"/>
              </w:rPr>
              <w:t>Operations Supervisor</w:t>
            </w:r>
          </w:p>
        </w:tc>
      </w:tr>
      <w:tr>
        <w:trPr>
          <w:cantSplit/>
        </w:trPr>
        <w:tc>
          <w:tcPr>
            <w:tcW w:type="dxa" w:w="2160"/>
          </w:tcPr>
          <w:p>
            <w:r>
              <w:rPr>
                <w:rFonts w:ascii="Aptos" w:hAnsi="Aptos"/>
                <w:b w:val="0"/>
                <w:sz w:val="24"/>
              </w:rPr>
              <w:t>Server / data center</w:t>
            </w:r>
          </w:p>
        </w:tc>
        <w:tc>
          <w:tcPr>
            <w:tcW w:type="dxa" w:w="3168"/>
          </w:tcPr>
          <w:p>
            <w:r>
              <w:rPr>
                <w:rFonts w:ascii="Aptos" w:hAnsi="Aptos"/>
                <w:b w:val="0"/>
                <w:sz w:val="24"/>
              </w:rPr>
              <w:t>Badge + PIN (group C); logged</w:t>
            </w:r>
          </w:p>
        </w:tc>
        <w:tc>
          <w:tcPr>
            <w:tcW w:type="dxa" w:w="2736"/>
          </w:tcPr>
          <w:p>
            <w:r>
              <w:rPr>
                <w:rFonts w:ascii="Aptos" w:hAnsi="Aptos"/>
                <w:b w:val="0"/>
                <w:sz w:val="24"/>
              </w:rPr>
              <w:t>CAD / ESInet / RMS servers; core network</w:t>
            </w:r>
          </w:p>
        </w:tc>
        <w:tc>
          <w:tcPr>
            <w:tcW w:type="dxa" w:w="1728"/>
          </w:tcPr>
          <w:p>
            <w:r>
              <w:rPr>
                <w:rFonts w:ascii="Aptos" w:hAnsi="Aptos"/>
                <w:b w:val="0"/>
                <w:sz w:val="24"/>
              </w:rPr>
              <w:t>IT team</w:t>
            </w:r>
          </w:p>
        </w:tc>
      </w:tr>
      <w:tr>
        <w:trPr>
          <w:cantSplit/>
        </w:trPr>
        <w:tc>
          <w:tcPr>
            <w:tcW w:type="dxa" w:w="2160"/>
          </w:tcPr>
          <w:p>
            <w:r>
              <w:rPr>
                <w:rFonts w:ascii="Aptos" w:hAnsi="Aptos"/>
                <w:b w:val="0"/>
                <w:sz w:val="24"/>
              </w:rPr>
              <w:t>IDF / MDF closets; cable pathways</w:t>
            </w:r>
          </w:p>
        </w:tc>
        <w:tc>
          <w:tcPr>
            <w:tcW w:type="dxa" w:w="3168"/>
          </w:tcPr>
          <w:p>
            <w:r>
              <w:rPr>
                <w:rFonts w:ascii="Aptos" w:hAnsi="Aptos"/>
                <w:b w:val="0"/>
                <w:sz w:val="24"/>
              </w:rPr>
              <w:t>Badge (group C); logged</w:t>
            </w:r>
          </w:p>
        </w:tc>
        <w:tc>
          <w:tcPr>
            <w:tcW w:type="dxa" w:w="2736"/>
          </w:tcPr>
          <w:p>
            <w:r>
              <w:rPr>
                <w:rFonts w:ascii="Aptos" w:hAnsi="Aptos"/>
                <w:b w:val="0"/>
                <w:sz w:val="24"/>
              </w:rPr>
              <w:t>Network distribution; transmission lines</w:t>
            </w:r>
          </w:p>
        </w:tc>
        <w:tc>
          <w:tcPr>
            <w:tcW w:type="dxa" w:w="1728"/>
          </w:tcPr>
          <w:p>
            <w:r>
              <w:rPr>
                <w:rFonts w:ascii="Aptos" w:hAnsi="Aptos"/>
                <w:b w:val="0"/>
                <w:sz w:val="24"/>
              </w:rPr>
              <w:t>IT team</w:t>
            </w:r>
          </w:p>
        </w:tc>
      </w:tr>
    </w:tbl>
    <w:p>
      <w:pPr>
        <w:pStyle w:val="Heading2"/>
        <w:spacing w:after="100" w:before="220"/>
      </w:pPr>
      <w:r>
        <w:rPr>
          <w:rFonts w:ascii="Aptos" w:cs="Aptos" w:eastAsia="Aptos" w:hAnsi="Aptos"/>
          <w:b/>
          <w:bCs/>
          <w:color w:val="1B3A5C"/>
          <w:sz w:val="26"/>
          <w:szCs w:val="26"/>
        </w:rPr>
        <w:t>4. Zone Relationships &amp; Adjacency</w:t>
      </w:r>
    </w:p>
    <w:p>
      <w:pPr>
        <w:spacing w:after="120" w:before="0"/>
      </w:pPr>
      <w:r>
        <w:rPr>
          <w:rFonts w:ascii="Aptos" w:cs="Aptos" w:eastAsia="Aptos" w:hAnsi="Aptos"/>
          <w:b w:val="0"/>
          <w:bCs w:val="false"/>
          <w:i w:val="false"/>
          <w:iCs w:val="false"/>
          <w:sz w:val="24"/>
          <w:szCs w:val="24"/>
        </w:rPr>
        <w:t>Access steps up from public reception to the staffed dispatch floor to the restricted equipment spaces, and each boundary requires a higher credential. The server room and IDF/MDF closets sit inside the controlled core and are not reachable from public areas. Visitors are escorted past the reception boundary at all times. Authorization for each zone is recorded in the Access Authorization List, and entries and anomalies are reviewed in the Physical Access Review Records.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Tri-River maintains a zone map per center, tied to the badge system’s access groups, showing every controlled space and the systems it houses. Facilities and security review it on a set cadence.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NENA-STA-040.2-2024: §6.1.1, §6.1.3</w:t>
            </w:r>
          </w:p>
          <w:p>
            <w:pPr>
              <w:spacing w:after="40" w:before="0"/>
            </w:pPr>
            <w:r>
              <w:rPr>
                <w:rFonts w:ascii="Aptos" w:hAnsi="Aptos"/>
                <w:b w:val="0"/>
                <w:sz w:val="24"/>
              </w:rPr>
              <w:t>NIST SP 800-53 Rev. 5: PE-2, PE-3, PE-18</w:t>
            </w:r>
          </w:p>
          <w:p>
            <w:pPr>
              <w:spacing w:after="40" w:before="0"/>
            </w:pPr>
            <w:r>
              <w:rPr>
                <w:rFonts w:ascii="Aptos" w:hAnsi="Aptos"/>
                <w:b w:val="0"/>
                <w:sz w:val="24"/>
              </w:rPr>
              <w:t>CJIS Security Policy v5.9: §5.9.1 (Physically Secure Location;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/s/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2026-06-01T15:29:11.495Z</dcterms:created>
  <dcterms:modified xsi:type="dcterms:W3CDTF">2026-06-01T15:29:11.495Z</dcterms:modified>
  <dc:title xmlns:dc="http://purl.org/dc/elements/1.1/">Controlled Area / Zone Map - EXAMPLE - L</dc:title>
</cp:coreProperties>
</file>

<file path=docProps/custom.xml><?xml version="1.0" encoding="utf-8"?>
<Properties xmlns="http://schemas.openxmlformats.org/officeDocument/2006/custom-properties" xmlns:vt="http://schemas.openxmlformats.org/officeDocument/2006/docPropsVTypes"/>
</file>