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IT Support Accountability Agreement (SLA / MOU)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Parties</w:t>
            </w:r>
          </w:p>
          <w:p>
            <w:pPr>
              <w:spacing w:after="60"/>
            </w:pPr>
            <w:r>
              <w:rPr>
                <w:rFonts w:ascii="Aptos" w:cs="Aptos" w:eastAsia="Aptos" w:hAnsi="Aptos"/>
                <w:b/>
                <w:bCs/>
                <w:i w:val="false"/>
                <w:iCs w:val="false"/>
                <w:sz w:val="24"/>
                <w:szCs w:val="24"/>
              </w:rPr>
              <w:t xml:space="preserve">Party A: </w:t>
            </w:r>
            <w:r>
              <w:rPr>
                <w:rFonts w:ascii="Aptos" w:cs="Aptos" w:eastAsia="Aptos" w:hAnsi="Aptos"/>
                <w:b w:val="false"/>
                <w:bCs w:val="false"/>
                <w:i w:val="false"/>
                <w:iCs w:val="false"/>
                <w:sz w:val="24"/>
                <w:szCs w:val="24"/>
              </w:rPr>
              <w:t>[Agency name], [Director / Coordinator]</w:t>
            </w:r>
          </w:p>
          <w:p>
            <w:pPr>
              <w:spacing w:after="60"/>
            </w:pPr>
            <w:r>
              <w:rPr>
                <w:rFonts w:ascii="Aptos" w:cs="Aptos" w:eastAsia="Aptos" w:hAnsi="Aptos"/>
                <w:b/>
                <w:bCs/>
                <w:i w:val="false"/>
                <w:iCs w:val="false"/>
                <w:sz w:val="24"/>
                <w:szCs w:val="24"/>
              </w:rPr>
              <w:t xml:space="preserve">Party B: </w:t>
            </w:r>
            <w:r>
              <w:rPr>
                <w:rFonts w:ascii="Aptos" w:cs="Aptos" w:eastAsia="Aptos" w:hAnsi="Aptos"/>
                <w:b w:val="false"/>
                <w:bCs w:val="false"/>
                <w:i w:val="false"/>
                <w:iCs w:val="false"/>
                <w:sz w:val="24"/>
                <w:szCs w:val="24"/>
              </w:rPr>
              <w:t>[IT provider: county IT / contractor / in-house], [role / title]</w:t>
            </w:r>
          </w:p>
          <w:p>
            <w:pPr>
              <w:spacing w:after="60"/>
            </w:pPr>
            <w:r>
              <w:rPr>
                <w:rFonts w:ascii="Aptos" w:cs="Aptos" w:eastAsia="Aptos" w:hAnsi="Aptos"/>
                <w:b/>
                <w:bCs/>
                <w:i w:val="false"/>
                <w:iCs w:val="false"/>
                <w:sz w:val="24"/>
                <w:szCs w:val="24"/>
              </w:rPr>
              <w:t xml:space="preserve">Version: </w:t>
            </w:r>
            <w:r>
              <w:rPr>
                <w:rFonts w:ascii="Aptos" w:cs="Aptos" w:eastAsia="Aptos" w:hAnsi="Aptos"/>
                <w:b w:val="false"/>
                <w:bCs w:val="false"/>
                <w:i w:val="false"/>
                <w:iCs w:val="false"/>
                <w:sz w:val="24"/>
                <w:szCs w:val="24"/>
              </w:rPr>
              <w:t xml:space="preserve">[#]    </w:t>
            </w:r>
            <w:r>
              <w:rPr>
                <w:rFonts w:ascii="Aptos" w:cs="Aptos" w:eastAsia="Aptos" w:hAnsi="Aptos"/>
                <w:b/>
                <w:bCs/>
                <w:i w:val="false"/>
                <w:iCs w:val="false"/>
                <w:sz w:val="24"/>
                <w:szCs w:val="24"/>
              </w:rPr>
              <w:t xml:space="preserve">Effective Date: </w:t>
            </w:r>
            <w:r>
              <w:rPr>
                <w:rFonts w:ascii="Aptos" w:cs="Aptos" w:eastAsia="Aptos" w:hAnsi="Aptos"/>
                <w:b w:val="false"/>
                <w:bCs w:val="false"/>
                <w:i w:val="false"/>
                <w:iCs w:val="false"/>
                <w:sz w:val="24"/>
                <w:szCs w:val="24"/>
              </w:rPr>
              <w:t xml:space="preserve">[Date]    </w:t>
            </w:r>
            <w:r>
              <w:rPr>
                <w:rFonts w:ascii="Aptos" w:cs="Aptos" w:eastAsia="Aptos" w:hAnsi="Aptos"/>
                <w:b/>
                <w:bCs/>
                <w:i w:val="false"/>
                <w:iCs w:val="false"/>
                <w:sz w:val="24"/>
                <w:szCs w:val="24"/>
              </w:rPr>
              <w:t xml:space="preserve">Next Review: </w:t>
            </w:r>
            <w:r>
              <w:rPr>
                <w:rFonts w:ascii="Aptos" w:cs="Aptos" w:eastAsia="Aptos" w:hAnsi="Aptos"/>
                <w:b w:val="false"/>
                <w:bCs w:val="false"/>
                <w:i w:val="false"/>
                <w:iCs w:val="false"/>
                <w:sz w:val="24"/>
                <w:szCs w:val="24"/>
              </w:rPr>
              <w:t xml:space="preserve">[Date]</w:t>
            </w:r>
          </w:p>
          <w:p>
            <w:pPr>
              <w:spacing w:after="20"/>
            </w:pPr>
            <w:r>
              <w:rPr>
                <w:rFonts w:ascii="Aptos" w:cs="Aptos" w:eastAsia="Aptos" w:hAnsi="Aptos"/>
                <w:b/>
                <w:bCs/>
                <w:i w:val="false"/>
                <w:iCs w:val="false"/>
                <w:sz w:val="24"/>
                <w:szCs w:val="24"/>
              </w:rPr>
              <w:t xml:space="preserve">Classification: </w:t>
            </w:r>
            <w:r>
              <w:rPr>
                <w:rFonts w:ascii="Aptos" w:cs="Aptos" w:eastAsia="Aptos" w:hAnsi="Aptos"/>
                <w:b w:val="false"/>
                <w:bCs w:val="false"/>
                <w:i w:val="false"/>
                <w:iCs w:val="false"/>
                <w:sz w:val="24"/>
                <w:szCs w:val="24"/>
              </w:rPr>
              <w:t xml:space="preserve">Internal</w:t>
            </w:r>
          </w:p>
          <w:p>
            <w:pPr>
              <w:spacing w:after="0"/>
            </w:pPr>
            <w:r>
              <w:rPr>
                <w:rFonts w:ascii="Aptos" w:cs="Aptos" w:eastAsia="Aptos" w:hAnsi="Aptos"/>
                <w:i/>
                <w:iCs/>
                <w:color w:val="595959"/>
                <w:sz w:val="24"/>
                <w:szCs w:val="24"/>
              </w:rPr>
              <w:t>«Minimum for this Agreement. Raise to Confidential for signed copies that carry named-party contact data.»</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How to use this template </w:t>
            </w:r>
            <w:r>
              <w:rPr>
                <w:rFonts w:ascii="Aptos" w:cs="Aptos" w:eastAsia="Aptos" w:hAnsi="Aptos"/>
                <w:b w:val="false"/>
                <w:bCs w:val="false"/>
                <w:i/>
                <w:iCs/>
                <w:color w:val="595959"/>
                <w:sz w:val="24"/>
                <w:szCs w:val="24"/>
              </w:rPr>
              <w:t xml:space="preserve">(delete this box before publishing)</w:t>
            </w:r>
          </w:p>
          <w:p>
            <w:pPr>
              <w:spacing w:after="140"/>
            </w:pPr>
            <w:r>
              <w:rPr>
                <w:rFonts w:ascii="Aptos" w:cs="Aptos" w:eastAsia="Aptos" w:hAnsi="Aptos"/>
                <w:i/>
                <w:iCs/>
                <w:color w:val="595959"/>
                <w:sz w:val="24"/>
                <w:szCs w:val="24"/>
              </w:rPr>
              <w:t>This agreement records the cybersecurity obligations between the Agency and whoever provides its IT support. Replace every [BRACKETED] field, set real targets in the Service Levels table, follow the « » guidance, and delete every « » note and this box before signing.</w:t>
            </w:r>
          </w:p>
          <w:p>
            <w:pPr>
              <w:spacing w:after="0"/>
            </w:pPr>
            <w:r>
              <w:rPr>
                <w:rFonts w:ascii="Aptos" w:cs="Aptos" w:eastAsia="Aptos" w:hAnsi="Aptos"/>
                <w:b/>
                <w:bCs/>
                <w:i w:val="false"/>
                <w:iCs w:val="false"/>
                <w:sz w:val="24"/>
                <w:szCs w:val="24"/>
              </w:rPr>
              <w:t xml:space="preserve">Placeholder key: </w:t>
            </w:r>
            <w:r>
              <w:rPr>
                <w:rFonts w:ascii="Aptos" w:cs="Aptos" w:eastAsia="Aptos" w:hAnsi="Aptos"/>
                <w:b w:val="false"/>
                <w:bCs w:val="false"/>
                <w:i w:val="false"/>
                <w:iCs w:val="false"/>
                <w:sz w:val="24"/>
                <w:szCs w:val="24"/>
              </w:rPr>
              <w:t xml:space="preserve">[BRACKETED]</w:t>
            </w:r>
            <w:r>
              <w:rPr>
                <w:rFonts w:ascii="Aptos" w:cs="Aptos" w:eastAsia="Aptos" w:hAnsi="Aptos"/>
                <w:b w:val="false"/>
                <w:bCs w:val="false"/>
                <w:i w:val="false"/>
                <w:iCs w:val="false"/>
                <w:sz w:val="24"/>
                <w:szCs w:val="24"/>
              </w:rPr>
              <w:t xml:space="preserve"> = fill in   ·   </w:t>
            </w:r>
            <w:r>
              <w:rPr>
                <w:rFonts w:ascii="Aptos" w:cs="Aptos" w:eastAsia="Aptos" w:hAnsi="Aptos"/>
                <w:b/>
                <w:bCs/>
                <w:i w:val="false"/>
                <w:iCs w:val="false"/>
                <w:sz w:val="24"/>
                <w:szCs w:val="24"/>
              </w:rPr>
              <w:t xml:space="preserve">[REQUIRED]</w:t>
            </w:r>
            <w:r>
              <w:rPr>
                <w:rFonts w:ascii="Aptos" w:cs="Aptos" w:eastAsia="Aptos" w:hAnsi="Aptos"/>
                <w:b w:val="false"/>
                <w:bCs w:val="false"/>
                <w:i w:val="false"/>
                <w:iCs w:val="false"/>
                <w:sz w:val="24"/>
                <w:szCs w:val="24"/>
              </w:rPr>
              <w:t xml:space="preserve"> (bold) = required field   ·   </w:t>
            </w:r>
            <w:r>
              <w:rPr>
                <w:rFonts w:ascii="Aptos" w:cs="Aptos" w:eastAsia="Aptos" w:hAnsi="Aptos"/>
                <w:b w:val="false"/>
                <w:bCs w:val="false"/>
                <w:i/>
                <w:iCs/>
                <w:color w:val="595959"/>
                <w:sz w:val="24"/>
                <w:szCs w:val="24"/>
              </w:rPr>
              <w:t xml:space="preserve">« »</w:t>
            </w:r>
            <w:r>
              <w:rPr>
                <w:rFonts w:ascii="Aptos" w:cs="Aptos" w:eastAsia="Aptos" w:hAnsi="Aptos"/>
                <w:b w:val="false"/>
                <w:bCs w:val="false"/>
                <w:i w:val="false"/>
                <w:iCs w:val="false"/>
                <w:sz w:val="24"/>
                <w:szCs w:val="24"/>
              </w:rPr>
              <w:t xml:space="preserve"> = guidance to delete.</w:t>
            </w:r>
          </w:p>
          <w:p>
            <w:pPr>
              <w:spacing w:after="140"/>
            </w:pPr>
            <w:r>
              <w:rPr>
                <w:rFonts w:ascii="Aptos" w:cs="Aptos" w:eastAsia="Aptos" w:hAnsi="Aptos"/>
                <w:i/>
                <w:iCs/>
                <w:color w:val="595959"/>
                <w:sz w:val="24"/>
                <w:szCs w:val="24"/>
              </w:rPr>
              <w:t>This is the enforcement mechanism behind the Agency's governance. Keep it consistent with the RACI Matrix for Cybersecurity, which assigns who is accountable for each duty named here.</w:t>
            </w:r>
          </w:p>
        </w:tc>
      </w:tr>
    </w:tbl>
    <w:p>
      <w:pPr>
        <w:pStyle w:val="Heading2"/>
        <w:spacing w:after="100" w:before="220"/>
      </w:pPr>
      <w:r>
        <w:rPr>
          <w:rFonts w:ascii="Aptos" w:cs="Aptos" w:eastAsia="Aptos" w:hAnsi="Aptos"/>
          <w:b/>
          <w:bCs/>
          <w:color w:val="1B3A5C"/>
          <w:sz w:val="26"/>
          <w:szCs w:val="26"/>
        </w:rPr>
        <w:t xml:space="preserve">1. Purpose</w:t>
      </w:r>
    </w:p>
    <w:p>
      <w:pPr>
        <w:spacing w:after="140"/>
      </w:pPr>
      <w:r>
        <w:rPr>
          <w:rFonts w:ascii="Aptos" w:cs="Aptos" w:eastAsia="Aptos" w:hAnsi="Aptos"/>
          <w:i/>
          <w:iCs/>
          <w:color w:val="595959"/>
          <w:sz w:val="24"/>
          <w:szCs w:val="24"/>
        </w:rPr>
        <w:t xml:space="preserve">«What this agreement establishes and why the parties enter it. One or two sentences.»</w:t>
      </w:r>
    </w:p>
    <w:p>
      <w:pPr>
        <w:spacing w:after="120" w:before="0"/>
      </w:pPr>
      <w:r>
        <w:rPr>
          <w:rFonts w:ascii="Aptos" w:cs="Aptos" w:eastAsia="Aptos" w:hAnsi="Aptos"/>
          <w:b w:val="false"/>
          <w:bCs w:val="false"/>
          <w:i w:val="false"/>
          <w:iCs w:val="false"/>
          <w:sz w:val="24"/>
          <w:szCs w:val="24"/>
        </w:rPr>
        <w:t>This agreement sets out the cybersecurity responsibilities, service levels, and notification duties between the Agency and its IT provider. It states what the provider is accountable for, how fast it must respond and restore service, and how it must report a suspected breach. Without it, the Agency's governance has no enforcement mechanism; with it, each duty has an owner and a measurable expectation.</w:t>
      </w:r>
    </w:p>
    <w:p>
      <w:pPr>
        <w:pStyle w:val="Heading2"/>
        <w:spacing w:after="100" w:before="220"/>
      </w:pPr>
      <w:r>
        <w:rPr>
          <w:rFonts w:ascii="Aptos" w:cs="Aptos" w:eastAsia="Aptos" w:hAnsi="Aptos"/>
          <w:b/>
          <w:bCs/>
          <w:color w:val="1B3A5C"/>
          <w:sz w:val="26"/>
          <w:szCs w:val="26"/>
        </w:rPr>
        <w:t>2. Definitions</w:t>
      </w:r>
    </w:p>
    <w:p>
      <w:pPr>
        <w:spacing w:after="140"/>
      </w:pPr>
      <w:r>
        <w:rPr>
          <w:rFonts w:ascii="Aptos" w:cs="Aptos" w:eastAsia="Aptos" w:hAnsi="Aptos"/>
          <w:i/>
          <w:iCs/>
          <w:color w:val="595959"/>
          <w:sz w:val="24"/>
          <w:szCs w:val="24"/>
        </w:rPr>
        <w:t>«Define only the terms this agreement measures against. These set the thresholds the parties are held to.»</w:t>
      </w:r>
    </w:p>
    <w:p>
      <w:pPr>
        <w:spacing w:after="120" w:before="0"/>
      </w:pPr>
      <w:r>
        <w:rPr>
          <w:rFonts w:ascii="Aptos" w:cs="Aptos" w:eastAsia="Aptos" w:hAnsi="Aptos"/>
          <w:b w:val="false"/>
          <w:bCs w:val="false"/>
          <w:i w:val="false"/>
          <w:iCs w:val="false"/>
          <w:sz w:val="24"/>
          <w:szCs w:val="24"/>
        </w:rPr>
        <w:t>Response time: the elapsed time from the provider being notified of an issue to the provider beginning work on it.</w:t>
      </w:r>
    </w:p>
    <w:p>
      <w:pPr>
        <w:spacing w:after="120" w:before="0"/>
      </w:pPr>
      <w:r>
        <w:rPr>
          <w:rFonts w:ascii="Aptos" w:cs="Aptos" w:eastAsia="Aptos" w:hAnsi="Aptos"/>
          <w:b w:val="false"/>
          <w:bCs w:val="false"/>
          <w:i w:val="false"/>
          <w:iCs w:val="false"/>
          <w:sz w:val="24"/>
          <w:szCs w:val="24"/>
        </w:rPr>
        <w:t>Restoration: returning an affected system to normal operation.</w:t>
      </w:r>
    </w:p>
    <w:p>
      <w:pPr>
        <w:spacing w:after="120" w:before="0"/>
      </w:pPr>
      <w:r>
        <w:rPr>
          <w:rFonts w:ascii="Aptos" w:cs="Aptos" w:eastAsia="Aptos" w:hAnsi="Aptos"/>
          <w:b w:val="false"/>
          <w:bCs w:val="false"/>
          <w:i w:val="false"/>
          <w:iCs w:val="false"/>
          <w:sz w:val="24"/>
          <w:szCs w:val="24"/>
        </w:rPr>
        <w:t>Critical system: any system the Asset Criticality Ranking Matrix marks Critical, including 9-1-1 call handling and dispatch.</w:t>
      </w:r>
    </w:p>
    <w:p>
      <w:pPr>
        <w:spacing w:after="120" w:before="0"/>
      </w:pPr>
      <w:r>
        <w:rPr>
          <w:rFonts w:ascii="Aptos" w:cs="Aptos" w:eastAsia="Aptos" w:hAnsi="Aptos"/>
          <w:b w:val="false"/>
          <w:bCs w:val="false"/>
          <w:i w:val="false"/>
          <w:iCs w:val="false"/>
          <w:sz w:val="24"/>
          <w:szCs w:val="24"/>
        </w:rPr>
        <w:t>Breach: confirmed or suspected unauthorized access to, or loss of, Agency or CJIS-regulated data.</w:t>
      </w:r>
    </w:p>
    <w:p>
      <w:pPr>
        <w:pStyle w:val="Heading2"/>
        <w:spacing w:after="100" w:before="220"/>
      </w:pPr>
      <w:r>
        <w:rPr>
          <w:rFonts w:ascii="Aptos" w:cs="Aptos" w:eastAsia="Aptos" w:hAnsi="Aptos"/>
          <w:b/>
          <w:bCs/>
          <w:color w:val="1B3A5C"/>
          <w:sz w:val="26"/>
          <w:szCs w:val="26"/>
        </w:rPr>
        <w:t>3. Terms and Requirements</w:t>
      </w:r>
    </w:p>
    <w:p>
      <w:pPr>
        <w:spacing w:after="140"/>
      </w:pPr>
      <w:r>
        <w:rPr>
          <w:rFonts w:ascii="Aptos" w:cs="Aptos" w:eastAsia="Aptos" w:hAnsi="Aptos"/>
          <w:i/>
          <w:iCs/>
          <w:color w:val="595959"/>
          <w:sz w:val="24"/>
          <w:szCs w:val="24"/>
        </w:rPr>
        <w:t xml:space="preserve">«The binding obligations, as numbered terms. State which party owns each. Be specific about timing and thresholds.»</w:t>
      </w:r>
    </w:p>
    <w:p>
      <w:pPr>
        <w:pStyle w:val="ListParagraph"/>
        <w:numPr>
          <w:ilvl w:val="0"/>
          <w:numId w:val="2"/>
        </w:numPr>
        <w:spacing w:after="60"/>
      </w:pPr>
      <w:r>
        <w:rPr>
          <w:rFonts w:ascii="Aptos" w:cs="Aptos" w:eastAsia="Aptos" w:hAnsi="Aptos"/>
          <w:b w:val="false"/>
          <w:bCs w:val="false"/>
          <w:i w:val="false"/>
          <w:iCs w:val="false"/>
          <w:sz w:val="24"/>
          <w:szCs w:val="24"/>
        </w:rPr>
        <w:t>The provider shall maintain the security controls assigned to it for the Agency's systems, including access control, logging, endpoint protection, and backups, consistent with Agency policy.</w:t>
      </w:r>
    </w:p>
    <w:p>
      <w:pPr>
        <w:pStyle w:val="ListParagraph"/>
        <w:numPr>
          <w:ilvl w:val="0"/>
          <w:numId w:val="2"/>
        </w:numPr>
        <w:spacing w:after="60"/>
      </w:pPr>
      <w:r>
        <w:rPr>
          <w:rFonts w:ascii="Aptos" w:cs="Aptos" w:eastAsia="Aptos" w:hAnsi="Aptos"/>
          <w:b w:val="false"/>
          <w:bCs w:val="false"/>
          <w:i w:val="false"/>
          <w:iCs w:val="false"/>
          <w:sz w:val="24"/>
          <w:szCs w:val="24"/>
        </w:rPr>
        <w:t>The provider shall apply security patches to Agency systems on the schedule in the Patch Management Schedule, and apply emergency patches for actively exploited vulnerabilities within [timeframe].</w:t>
      </w:r>
    </w:p>
    <w:p>
      <w:pPr>
        <w:pStyle w:val="ListParagraph"/>
        <w:numPr>
          <w:ilvl w:val="0"/>
          <w:numId w:val="2"/>
        </w:numPr>
        <w:spacing w:after="60"/>
      </w:pPr>
      <w:r>
        <w:rPr>
          <w:rFonts w:ascii="Aptos" w:cs="Aptos" w:eastAsia="Aptos" w:hAnsi="Aptos"/>
          <w:b w:val="false"/>
          <w:bCs w:val="false"/>
          <w:i w:val="false"/>
          <w:iCs w:val="false"/>
          <w:sz w:val="24"/>
          <w:szCs w:val="24"/>
        </w:rPr>
        <w:t>The provider shall monitor Agency systems for security events and notify the Agency of suspected incidents without delay.</w:t>
      </w:r>
    </w:p>
    <w:p>
      <w:pPr>
        <w:pStyle w:val="ListParagraph"/>
        <w:numPr>
          <w:ilvl w:val="0"/>
          <w:numId w:val="2"/>
        </w:numPr>
        <w:spacing w:after="60"/>
      </w:pPr>
      <w:r>
        <w:rPr>
          <w:rFonts w:ascii="Aptos" w:cs="Aptos" w:eastAsia="Aptos" w:hAnsi="Aptos"/>
          <w:b w:val="false"/>
          <w:bCs w:val="false"/>
          <w:i w:val="false"/>
          <w:iCs w:val="false"/>
          <w:sz w:val="24"/>
          <w:szCs w:val="24"/>
        </w:rPr>
        <w:t>The provider shall meet the response and restoration targets in the Service Levels table below.</w:t>
      </w:r>
    </w:p>
    <w:p>
      <w:pPr>
        <w:pStyle w:val="ListParagraph"/>
        <w:numPr>
          <w:ilvl w:val="0"/>
          <w:numId w:val="2"/>
        </w:numPr>
        <w:spacing w:after="60"/>
      </w:pPr>
      <w:r>
        <w:rPr>
          <w:rFonts w:ascii="Aptos" w:cs="Aptos" w:eastAsia="Aptos" w:hAnsi="Aptos"/>
          <w:b w:val="false"/>
          <w:bCs w:val="false"/>
          <w:i w:val="false"/>
          <w:iCs w:val="false"/>
          <w:sz w:val="24"/>
          <w:szCs w:val="24"/>
        </w:rPr>
        <w:t>The provider shall notify the Agency of a suspected or confirmed breach within [timeframe], and support the Agency's reporting to the Indiana Office of Technology within the two-business-day window set by HEA 1169.</w:t>
      </w:r>
    </w:p>
    <w:p>
      <w:pPr>
        <w:pStyle w:val="ListParagraph"/>
        <w:numPr>
          <w:ilvl w:val="0"/>
          <w:numId w:val="2"/>
        </w:numPr>
        <w:spacing w:after="60"/>
      </w:pPr>
      <w:r>
        <w:rPr>
          <w:rFonts w:ascii="Aptos" w:cs="Aptos" w:eastAsia="Aptos" w:hAnsi="Aptos"/>
          <w:b w:val="false"/>
          <w:bCs w:val="false"/>
          <w:i w:val="false"/>
          <w:iCs w:val="false"/>
          <w:sz w:val="24"/>
          <w:szCs w:val="24"/>
        </w:rPr>
        <w:t>The provider shall give the Agency advance notice of changes to Agency systems and keep asset and configuration records accurate.</w:t>
      </w:r>
    </w:p>
    <w:p>
      <w:pPr>
        <w:pStyle w:val="ListParagraph"/>
        <w:numPr>
          <w:ilvl w:val="0"/>
          <w:numId w:val="2"/>
        </w:numPr>
        <w:spacing w:after="60"/>
      </w:pPr>
      <w:r>
        <w:rPr>
          <w:rFonts w:ascii="Aptos" w:cs="Aptos" w:eastAsia="Aptos" w:hAnsi="Aptos"/>
          <w:b w:val="false"/>
          <w:bCs w:val="false"/>
          <w:i w:val="false"/>
          <w:iCs w:val="false"/>
          <w:sz w:val="24"/>
          <w:szCs w:val="24"/>
        </w:rPr>
        <w:t>The Agency shall give the provider the access and information it needs to meet these obligations, and shall name the points of contact below.</w:t>
      </w:r>
    </w:p>
    <w:p>
      <w:pPr>
        <w:pStyle w:val="Heading2"/>
        <w:spacing w:after="100" w:before="220"/>
      </w:pPr>
      <w:r>
        <w:rPr>
          <w:rFonts w:ascii="Aptos" w:cs="Aptos" w:eastAsia="Aptos" w:hAnsi="Aptos"/>
          <w:b/>
          <w:bCs/>
          <w:color w:val="1B3A5C"/>
          <w:sz w:val="26"/>
          <w:szCs w:val="26"/>
        </w:rPr>
        <w:t>4. Service Levels</w:t>
      </w:r>
    </w:p>
    <w:p>
      <w:pPr>
        <w:spacing w:after="140"/>
      </w:pPr>
      <w:r>
        <w:rPr>
          <w:rFonts w:ascii="Aptos" w:cs="Aptos" w:eastAsia="Aptos" w:hAnsi="Aptos"/>
          <w:i/>
          <w:iCs/>
          <w:color w:val="595959"/>
          <w:sz w:val="24"/>
          <w:szCs w:val="24"/>
        </w:rPr>
        <w:t>«The measurable targets the provider is held to. Set real numbers; an unmeasured service level is unenforceable.»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900"/>
        <w:gridCol w:w="2100"/>
        <w:gridCol w:w="2860"/>
      </w:tblGrid>
      <w:tr>
        <w:trPr>
          <w:cantSplit/>
          <w:tblHeader/>
        </w:trPr>
        <w:tc>
          <w:tcPr>
            <w:tcW w:type="dxa" w:w="25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Service area</w:t>
            </w:r>
          </w:p>
        </w:tc>
        <w:tc>
          <w:tcPr>
            <w:tcW w:type="dxa" w:w="19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Target</w:t>
            </w:r>
          </w:p>
        </w:tc>
        <w:tc>
          <w:tcPr>
            <w:tcW w:type="dxa" w:w="21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Measurement</w:t>
            </w:r>
          </w:p>
        </w:tc>
        <w:tc>
          <w:tcPr>
            <w:tcW w:type="dxa" w:w="28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Remedy on miss</w:t>
            </w:r>
          </w:p>
        </w:tc>
      </w:tr>
      <w:tr>
        <w:trPr>
          <w:cantSplit/>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Acknowledge a critical incident</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[e.g., 30 minutes, 24/7]</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[how measured]</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[e.g., escalation to provider management]</w:t>
            </w:r>
          </w:p>
        </w:tc>
      </w:tr>
      <w:tr>
        <w:trPr>
          <w:cantSplit/>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Restore a critical system</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[e.g., 4 hours]</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[how measured]</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[remedy]</w:t>
            </w:r>
          </w:p>
        </w:tc>
      </w:tr>
      <w:tr>
        <w:trPr>
          <w:cantSplit/>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Apply emergency security patch</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[e.g., 72 hours]</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[how measured]</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[remedy]</w:t>
            </w:r>
          </w:p>
        </w:tc>
      </w:tr>
      <w:tr>
        <w:trPr>
          <w:cantSplit/>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Notify Agency of suspected breach</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[e.g., 1 hour]</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[how measured]</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[remedy]</w:t>
            </w:r>
          </w:p>
        </w:tc>
      </w:tr>
      <w:tr>
        <w:trPr>
          <w:cantSplit/>
        </w:trP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Routine support response</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[e.g., 1 business day]</w:t>
            </w:r>
          </w:p>
        </w:tc>
        <w:tc>
          <w:tcPr>
            <w:tcW w:type="dxa" w:w="2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[how measured]</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[remedy]</w:t>
            </w:r>
          </w:p>
        </w:tc>
      </w:tr>
    </w:tbl>
    <w:p>
      <w:pPr>
        <w:pStyle w:val="Heading2"/>
        <w:spacing w:after="100" w:before="220"/>
      </w:pPr>
      <w:r>
        <w:rPr>
          <w:rFonts w:ascii="Aptos" w:cs="Aptos" w:eastAsia="Aptos" w:hAnsi="Aptos"/>
          <w:b/>
          <w:bCs/>
          <w:color w:val="1B3A5C"/>
          <w:sz w:val="26"/>
          <w:szCs w:val="26"/>
        </w:rPr>
        <w:t>5. Points of Contact</w:t>
      </w:r>
    </w:p>
    <w:p>
      <w:pPr>
        <w:spacing w:after="140"/>
      </w:pPr>
      <w:r>
        <w:rPr>
          <w:rFonts w:ascii="Aptos" w:cs="Aptos" w:eastAsia="Aptos" w:hAnsi="Aptos"/>
          <w:i/>
          <w:iCs/>
          <w:color w:val="595959"/>
          <w:sz w:val="24"/>
          <w:szCs w:val="24"/>
        </w:rPr>
        <w:t>«Operational escalation contacts by role, separate from the signatures below. Naming individuals raises a signed copy to Confidential.»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Role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Operational contact (by role)</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Agency escalation</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[Director / Coordinator]</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Provider escalation</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[provider role]</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After-hours / 24x7 contact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[role]</w:t>
            </w:r>
          </w:p>
        </w:tc>
      </w:tr>
    </w:tbl>
    <w:p>
      <w:pPr>
        <w:pStyle w:val="Heading2"/>
        <w:spacing w:after="100" w:before="220"/>
      </w:pPr>
      <w:r>
        <w:rPr>
          <w:rFonts w:ascii="Aptos" w:cs="Aptos" w:eastAsia="Aptos" w:hAnsi="Aptos"/>
          <w:b/>
          <w:bCs/>
          <w:color w:val="1B3A5C"/>
          <w:sz w:val="26"/>
          <w:szCs w:val="26"/>
        </w:rPr>
        <w:t>6. Signatures</w:t>
      </w:r>
    </w:p>
    <w:p>
      <w:pPr>
        <w:spacing w:after="140"/>
      </w:pPr>
      <w:r>
        <w:rPr>
          <w:rFonts w:ascii="Aptos" w:cs="Aptos" w:eastAsia="Aptos" w:hAnsi="Aptos"/>
          <w:i/>
          <w:iCs/>
          <w:color w:val="595959"/>
          <w:sz w:val="24"/>
          <w:szCs w:val="24"/>
        </w:rPr>
        <w:t xml:space="preserve">«Each party signs and dates. Roles, with named individuals only on the signed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2260"/>
        <w:gridCol w:w="2000"/>
        <w:gridCol w:w="1400"/>
      </w:tblGrid>
      <w:tr>
        <w:trPr>
          <w:cantSplit/>
          <w:tblHeader/>
        </w:trPr>
        <w:tc>
          <w:tcPr>
            <w:tcW w:type="dxa" w:w="17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Party</w:t>
            </w:r>
          </w:p>
        </w:tc>
        <w:tc>
          <w:tcPr>
            <w:tcW w:type="dxa" w:w="2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 / Title</w:t>
            </w:r>
          </w:p>
        </w:tc>
        <w:tc>
          <w:tcPr>
            <w:tcW w:type="dxa" w:w="2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[Party A]</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2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r>
        <w:trPr>
          <w:cantSplit/>
        </w:trP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[Party B]</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2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bl>
    <w:p>
      <w:pPr>
        <w:pStyle w:val="Heading2"/>
        <w:spacing w:after="100" w:before="220"/>
      </w:pPr>
      <w:r>
        <w:rPr>
          <w:rFonts w:ascii="Aptos" w:cs="Aptos" w:eastAsia="Aptos" w:hAnsi="Aptos"/>
          <w:b/>
          <w:bCs/>
          <w:color w:val="1B3A5C"/>
          <w:sz w:val="26"/>
          <w:szCs w:val="26"/>
        </w:rPr>
        <w:t>7. Retention</w:t>
      </w:r>
    </w:p>
    <w:p>
      <w:pPr>
        <w:spacing w:after="140"/>
      </w:pPr>
      <w:r>
        <w:rPr>
          <w:rFonts w:ascii="Aptos" w:cs="Aptos" w:eastAsia="Aptos" w:hAnsi="Aptos"/>
          <w:i/>
          <w:iCs/>
          <w:color w:val="595959"/>
          <w:sz w:val="24"/>
          <w:szCs w:val="24"/>
        </w:rPr>
        <w:t xml:space="preserve">«Where the signed original is kept, by whom, and for how long. Align with the Document Handling Standard.»</w:t>
      </w:r>
    </w:p>
    <w:p>
      <w:pPr>
        <w:spacing w:after="120" w:before="0"/>
      </w:pPr>
      <w:r>
        <w:rPr>
          <w:rFonts w:ascii="Aptos" w:cs="Aptos" w:eastAsia="Aptos" w:hAnsi="Aptos"/>
          <w:b w:val="false"/>
          <w:bCs w:val="false"/>
          <w:i w:val="false"/>
          <w:iCs w:val="false"/>
          <w:sz w:val="24"/>
          <w:szCs w:val="24"/>
        </w:rPr>
        <w:t>Retention: the signed original is kept by the [Director / Coordinator] for the life of the agreement plus [period], stored [location]. Align with the Document Handling Standard.</w:t>
      </w:r>
    </w:p>
    <w:p>
      <w:pPr>
        <w:pStyle w:val="Heading2"/>
        <w:spacing w:after="100" w:before="220"/>
      </w:pPr>
      <w:r>
        <w:rPr>
          <w:rFonts w:ascii="Aptos" w:cs="Aptos" w:eastAsia="Aptos" w:hAnsi="Aptos"/>
          <w:b/>
          <w:bCs/>
          <w:color w:val="1B3A5C"/>
          <w:sz w:val="26"/>
          <w:szCs w:val="26"/>
        </w:rPr>
        <w:t xml:space="preserve">Profile Scaling Notes</w:t>
      </w:r>
    </w:p>
    <w:p>
      <w:pPr>
        <w:spacing w:after="140"/>
      </w:pPr>
      <w:r>
        <w:rPr>
          <w:rFonts w:ascii="Aptos" w:cs="Aptos" w:eastAsia="Aptos" w:hAnsi="Aptos"/>
          <w:i/>
          <w:iCs/>
          <w:color w:val="595959"/>
          <w:sz w:val="24"/>
          <w:szCs w:val="24"/>
        </w:rPr>
        <w:t xml:space="preserve">One short paragraph per profile: what minimum-viable looks like for that reader and where to scale up. Keep all three if this ships as a template; delete the profiles that do not apply once adopted.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Small (1–5 dispatchers, no in-house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The single most important artifact for a small PSAP: it pins down what county or vendor IT actually owes you. Fill the Service Levels with realistic numbers and name one escalation contact on each side. Review annually.</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Medium (6–25, shared county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Tie the service levels to the county's existing IT ticketing and on-call. The security coordinator tracks misses and raises them at governance review.</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Large (25+, dedicated IT/security)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Run this as a formal SLA with reporting. Where IT is in-house, the agreement still records the same obligations between the PSAP and its IT function so accountability is explicit.</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40" w:before="0"/>
            </w:pPr>
            <w:r>
              <w:rPr>
                <w:rFonts w:ascii="Aptos" w:cs="Aptos" w:eastAsia="Aptos" w:hAnsi="Aptos"/>
                <w:b w:val="false"/>
                <w:bCs w:val="false"/>
                <w:i w:val="false"/>
                <w:iCs w:val="false"/>
                <w:sz w:val="24"/>
                <w:szCs w:val="24"/>
              </w:rPr>
              <w:t>NENA-STA-040.2-2024: §5.5, §5.6, §10</w:t>
            </w:r>
          </w:p>
          <w:p>
            <w:pPr>
              <w:spacing w:after="40" w:before="0"/>
            </w:pPr>
            <w:r>
              <w:rPr>
                <w:rFonts w:ascii="Aptos" w:cs="Aptos" w:eastAsia="Aptos" w:hAnsi="Aptos"/>
                <w:b w:val="false"/>
                <w:bCs w:val="false"/>
                <w:i w:val="false"/>
                <w:iCs w:val="false"/>
                <w:sz w:val="24"/>
                <w:szCs w:val="24"/>
              </w:rPr>
              <w:t>NIST SP 800-53 Rev. 5: IR-6, MA-5, PS-7, SA-4, SA-9</w:t>
            </w:r>
          </w:p>
          <w:p>
            <w:pPr>
              <w:spacing w:after="40" w:before="0"/>
            </w:pPr>
            <w:r>
              <w:rPr>
                <w:rFonts w:ascii="Aptos" w:cs="Aptos" w:eastAsia="Aptos" w:hAnsi="Aptos"/>
                <w:b w:val="false"/>
                <w:bCs w:val="false"/>
                <w:i w:val="false"/>
                <w:iCs w:val="false"/>
                <w:sz w:val="24"/>
                <w:szCs w:val="24"/>
              </w:rPr>
              <w:t>Indiana statutes and administrative code:</w:t>
            </w:r>
          </w:p>
          <w:p>
            <w:pPr>
              <w:spacing w:after="0" w:before="0"/>
            </w:pPr>
            <w:r>
              <w:rPr>
                <w:rFonts w:ascii="Aptos" w:cs="Aptos" w:eastAsia="Aptos" w:hAnsi="Aptos"/>
                <w:b w:val="false"/>
                <w:bCs w:val="false"/>
                <w:i w:val="false"/>
                <w:iCs w:val="false"/>
                <w:sz w:val="24"/>
                <w:szCs w:val="24"/>
              </w:rPr>
              <w:t xml:space="preserve">    HEA 1169 (2021): Cyber Incident Reporting to IOT</w:t>
            </w:r>
          </w:p>
          <w:p>
            <w:pPr>
              <w:spacing w:after="40" w:before="0"/>
            </w:pPr>
            <w:r>
              <w:rPr>
                <w:rFonts w:ascii="Aptos" w:cs="Aptos" w:eastAsia="Aptos" w:hAnsi="Aptos"/>
                <w:b w:val="false"/>
                <w:bCs w:val="false"/>
                <w:i w:val="false"/>
                <w:iCs w:val="false"/>
                <w:sz w:val="24"/>
                <w:szCs w:val="24"/>
              </w:rPr>
              <w:t xml:space="preserve">    IC 36-8-16.7: Statewide 911 Services (allowable uses, IDACS connectivity)</w:t>
            </w:r>
          </w:p>
          <w:p>
            <w:pPr>
              <w:spacing w:after="40" w:before="0"/>
            </w:pPr>
            <w:r>
              <w:rPr>
                <w:rFonts w:ascii="Aptos" w:cs="Aptos" w:eastAsia="Aptos" w:hAnsi="Aptos"/>
                <w:b w:val="false"/>
                <w:bCs w:val="false"/>
                <w:i w:val="false"/>
                <w:iCs w:val="false"/>
                <w:sz w:val="24"/>
                <w:szCs w:val="24"/>
              </w:rPr>
              <w:t>CJIS Security Policy v5.9: §5.1 (Information Exchange Agreements; where the provider handles CJIS-regulated data via IDACS)</w:t>
            </w: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[Date]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[Role]</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[Initial issue]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Drafter’s note </w:t>
            </w:r>
            <w:r>
              <w:rPr>
                <w:rFonts w:ascii="Aptos" w:cs="Aptos" w:eastAsia="Aptos" w:hAnsi="Aptos"/>
                <w:b w:val="false"/>
                <w:bCs w:val="false"/>
                <w:i/>
                <w:iCs/>
                <w:color w:val="595959"/>
                <w:sz w:val="24"/>
                <w:szCs w:val="24"/>
              </w:rPr>
              <w:t xml:space="preserve">(internal, delete before publishing)</w:t>
            </w:r>
          </w:p>
          <w:p>
            <w:pPr>
              <w:spacing w:after="140"/>
            </w:pPr>
            <w:r>
              <w:rPr>
                <w:rFonts w:ascii="Aptos" w:cs="Aptos" w:eastAsia="Aptos" w:hAnsi="Aptos"/>
                <w:i/>
                <w:iCs/>
                <w:color w:val="595959"/>
                <w:sz w:val="24"/>
                <w:szCs w:val="24"/>
              </w:rPr>
              <w:t>The Service Levels table ships with example targets in brackets. The Agency and provider set the real numbers; do not leave them as examples.</w:t>
            </w:r>
          </w:p>
          <w:p>
            <w:pPr>
              <w:spacing w:after="140"/>
            </w:pPr>
            <w:r>
              <w:rPr>
                <w:rFonts w:ascii="Aptos" w:cs="Aptos" w:eastAsia="Aptos" w:hAnsi="Aptos"/>
                <w:i/>
                <w:iCs/>
                <w:color w:val="595959"/>
                <w:sz w:val="24"/>
                <w:szCs w:val="24"/>
              </w:rPr>
              <w:t>The CJIS Security Policy line applies only where the provider accesses systems carrying CJIS-regulated data through IDACS. Confirm and, where it applies, append “ / CJIS” to the Classification.</w:t>
            </w:r>
          </w:p>
          <w:p>
            <w:pPr>
              <w:spacing w:after="140"/>
            </w:pPr>
            <w:r>
              <w:rPr>
                <w:rFonts w:ascii="Aptos" w:cs="Aptos" w:eastAsia="Aptos" w:hAnsi="Aptos"/>
                <w:i/>
                <w:iCs/>
                <w:color w:val="595959"/>
                <w:sz w:val="24"/>
                <w:szCs w:val="24"/>
              </w:rPr>
              <w:t>Cross-referenced artifacts use their Tracker names: RACI Matrix for Cybersecurity, Asset Criticality Ranking Matrix, Patch Management Schedule, Document Handling Standard.</w:t>
            </w:r>
          </w:p>
        </w:tc>
      </w:tr>
    </w:tbl>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2"/>
      </w:pBdr>
      <w:jc w:val="right"/>
    </w:pPr>
    <w:r>
      <w:rPr>
        <w:rFonts w:ascii="Aptos" w:cs="Aptos" w:eastAsia="Aptos" w:hAnsi="Aptos"/>
        <w:color w:val="595959"/>
        <w:sz w:val="16"/>
        <w:szCs w:val="16"/>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2026-06-01T15:29:11.513Z</dcterms:created>
  <dcterms:modified xsi:type="dcterms:W3CDTF">2026-06-01T15:29:11.513Z</dcterms:modified>
  <dc:title xmlns:dc="http://purl.org/dc/elements/1.1/">IT Support Accountability Agreement (SLA / MOU) - FORM</dc:title>
</cp:coreProperties>
</file>

<file path=docProps/custom.xml><?xml version="1.0" encoding="utf-8"?>
<Properties xmlns="http://schemas.openxmlformats.org/officeDocument/2006/custom-properties" xmlns:vt="http://schemas.openxmlformats.org/officeDocument/2006/docPropsVTypes"/>
</file>