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Account Provisioning &amp; Deprovisioning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[Agency Name]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[signing official / title]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[#]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[Date]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Confidential / CJIS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this checklist is Confidential: a completed copy names an individual and the access they hold. The / CJIS marker covers IDACS operator accounts. Your agency may raise this floor but not lower it.»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Completion header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Completed by (role):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[role]  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Individual (name / role):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[person this action covers]  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Action type: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[onboarding / offboarding]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Systems in scope: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[systems this checklist covers]  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Separation effective (offboarding):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[date / time]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This template is ready to adopt. Replace every [BRACKETED] field with your agency’s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Checklist Items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sections: provisioning (onboarding) and deprovisioning (offboarding). Mark Y, N, or NA for each item and record evidence; for offboarding, record the time completed. Remove account types the Agency does not use.»</w:t>
      </w:r>
    </w:p>
    <w:p>
      <w:pPr>
        <w:spacing w:after="140"/>
      </w:pPr>
      <w:r>
        <w:rPr>
          <w:rFonts w:ascii="Aptos" w:cs="Aptos" w:eastAsia="Aptos" w:hAnsi="Aptos"/>
          <w:b/>
          <w:bCs/>
          <w:sz w:val="24"/>
          <w:szCs w:val="24"/>
        </w:rPr>
        <w:t xml:space="preserve">Provisioning (onboarding)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Account type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Provisioning action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 / directory / network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 the user’s directory and network account for the approved role.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Email / messaging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 email and messaging accounts.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Application / CAD / RMS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Grant application access per the Access Entitlement Matrix.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Remote / VPN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Provision remote access only if approved.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IDACS / CJIS (if applicable)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Add the IDACS operator account through the TAC.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MFA / credentials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Enroll MFA and issue initial credentials per the Password &amp; Authentication Policy.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the accounts created in the Account-to-Role Assignment Register.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[evidence]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b/>
          <w:bCs/>
          <w:sz w:val="24"/>
          <w:szCs w:val="24"/>
        </w:rPr>
        <w:t xml:space="preserve">Deprovisioning (offboarding)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Account type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Deprovisioning action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time completed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Remote / VPN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Disable remote access first, within the separation window.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[time completed]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Privileged / admin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Revoke privileged and administrator access.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[time completed]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 / directory / network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Disable the directory and network account.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[time completed]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Application / CAD / RMS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Remove application access.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[time completed]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IDACS / CJIS (if applicable)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Remove the IDACS operator account through the TAC.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[time completed]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Email / messaging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Disable or forward email per policy.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[time completed]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Credentials / tokens / devices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Reclaim tokens, keys, and Agency-owned devices; reset shared credentials the person knew.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[time completed]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/ guest / service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Revoke vendor, guest, or temporary accounts tied to the person; reassign service-account ownership.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[time completed]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completion on this checklist and confirm to the supervisor.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[time completed]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Non-Compliance Escalation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to do when an item is marked N: who is notified, how it is recorded (link the Risk / Finding Register), and the timeframe.»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If any item cannot be completed (marked N), notify the [supervisor / security coordinator], record it in the Risk / Finding Register, and set a due date. A separation that leaves any account enabled past the window is a finding and is escalated the same day.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One combined checklist per hire and per departure, completed by the director or county IT. The system list is short; keep a signed copy in the personnel file.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standard checklist run by shared county IT for every onboarding and offboarding, with privileged-account removal verified by a second person.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Provisioning and deprovisioning driven from the identity platform against role templates; the checklist is the exception and sign-off record, retained with the access request.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numerically; add no padding.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0"/>
                <w:bCs/>
                <w:i w:val="0"/>
                <w:iCs/>
                <w:sz w:val="24"/>
                <w:szCs w:val="24"/>
              </w:rPr>
              <w:t xml:space="preserve">NENA-STA-040.2-2024: §6.2, §6.2.1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0"/>
                <w:bCs/>
                <w:i w:val="0"/>
                <w:iCs/>
                <w:sz w:val="24"/>
                <w:szCs w:val="24"/>
              </w:rPr>
              <w:t xml:space="preserve">NIST SP 800-53 Rev. 5: AC-2, AC-2(3), IA-4, PS-4, PS-5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0"/>
                <w:bCs/>
                <w:i w:val="0"/>
                <w:iCs/>
                <w:sz w:val="24"/>
                <w:szCs w:val="24"/>
              </w:rPr>
              <w:t xml:space="preserve">Indiana statutes and administrative code: 240 IAC 5 (IDACS)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0"/>
                <w:bCs/>
                <w:i w:val="0"/>
                <w:iCs/>
                <w:sz w:val="24"/>
                <w:szCs w:val="24"/>
              </w:rPr>
              <w:t xml:space="preserve">CJIS Security Policy v5.9: §5.5  (CJIS-regulated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[Completed by (role)]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[Reviewed by (role)]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sz w:val="24"/>
                <w:szCs w:val="24"/>
              </w:rPr>
              <w:t xml:space="preserve">The operational tool the Account Provisioning &amp; Deprovisioning Procedures runs from. Account types trace to the Access Entitlement Matrix; the person-to-role record is the Account-to-Role Assignment Register. Point to them; do not restate.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sz w:val="24"/>
                <w:szCs w:val="24"/>
              </w:rPr>
              <w:t xml:space="preserve">Agency-supplied values in brackets: [Agency Name], the individual and roles, the separation window, and systems in scope. Remove the IDACS / CJIS items and the / CJIS marker if the Agency has no IDACS or CJIS-regulated accounts.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2026-06-01T15:29:11.487Z</dcterms:created>
  <dcterms:modified xsi:type="dcterms:W3CDTF">2026-06-01T15:29:11.487Z</dcterms:modified>
  <dc:title xmlns:dc="http://purl.org/dc/elements/1.1/">Account Provisioning &amp; Deprovisioning Checklist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