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Risk Management Methodology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Standard artifacts. Stays Restricted in most cases. Drop to Internal only when the standard merely references public best practice.»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standard prescribes and the policy it implements. A Standard states what must be true; it governs behavior.»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standard sets how [Agency Name] manages cybersecurity risk: the risk it is willing to accept, the scales it uses to score risk, and the threats it accounts for. It implements the Cybersecurity &amp; Privacy Policy and governs the Risk Assessment Procedure that runs against it.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and who the standard binds; which systems or data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Applies to: all mission-critical public-safety systems and the data they handle, and every risk assessment the Agency performs.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Implements: Cybersecurity &amp; Privacy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Excludes: [exclusions, if any; if none, write “None.”]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Requirements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binding requirements, as numbered statements. Each must be testable. Use “The Agency shall…”.»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Agency shall manage risk to its mission-critical systems within the risk appetite stated below, and shall not accept a risk above that appetite without a recorded deviation.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Risk appetite. The Agency accepts low-to-moderate residual risk to systems that support 9-1-1 call handling and dispatch, and accepts no avoidable risk that would interrupt call answering or dispatch. [Adjust this appetite statement to the Agency's tolerance.]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Agency shall score each risk on likelihood and impact using the scales in Approved and Prohibited, rating impact against service availability, data, and life safety.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Agency shall account for, at minimum, the threat vectors listed in Approved and Prohibited: phishing and social engineering, malware and ransomware, supplier and third-party compromise, and denial-of-service against call delivery.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Agency shall assess risk at least annually and after any major system change or significant incident, following the Risk Assessment Procedure.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Agency shall record assessed risks in the Risk Register and track treatment decisions in the Risk / Finding Register (POA&amp;M).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and Prohibited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concrete allow/deny lists this standard sets (e.g., approved algorithms, prohibited protocols). Keep the as-built evidence in the matching Configuration Record, not here.»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Prohibited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Likelihood scale: Rare, Unlikely, Possible, Likely, Almost Certain.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Scoring risk without the approved scales.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Impact scale: Negligible, Minor, Moderate, Major, Severe, rated against service, data, and life safety.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Treating a life-safety impact as anything below Major.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Risk rating: likelihood combined with impact, mapped to Low, Moderate, High, Critical.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Accepting a High or Critical risk to call handling or dispatch without a recorded deviation.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Threat vectors in scope: phishing, malware and ransomware, supplier compromise, denial-of-service.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Leaving an assessed risk out of the Risk Register.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Deviation Process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approve a deviation,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 deviation from this standard, including accepting a risk above the stated appetite, requires written approval from the [Director / Coordinator]. The request states the risk, the reason, any compensating controls, and an end date. Approved deviations are recorded in the Risk Register and reviewed at least annually.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standard is reviewed at least annually and after any significant change to the Agency's systems, threats, or risk tolerance, by the [Director / Coordinator].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 the scales as written and keep the assessment light: one director-led review a year, plus a check after any major change. The appetite statement matters most; set it deliberately and hold to it.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security coordinator runs the assessment against these scales twice a year or on major change, and maintains the Risk Register. Tune the appetite with county leadership.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methodology drives a formal, scheduled risk program. The security role owns the scales, the rating thresholds, and the appetite, and reports risk posture to leadership.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NENA-STA-040.2-2024: §4.2.1, §4.3.1, §4.3.2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NIST SP 800-53 Rev. 5: PM-9, PM-28, RA-1, RA-3, RA-7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Split 2026-06-03 from the former Risk Management Methodology Document: this is the governing Standard (appetite, scales, threat vectors); the step-by-step assessment runs in the Risk Assessment Procedure. Classified Internal under the Standard drop rule, since it states methodology, not operational configuration. Cross-referenced artifacts use their Tracker names: Cybersecurity &amp; Privacy Policy, Risk Assessment Procedure, Risk Register, Risk / Finding Register (POA&amp;M). Confirm the NENA-STA-040.2-2024 sections (§4.2.1, §4.3.1, §4.3.2) against the standard in force. Set the risk-appetite statement (Requirement 2) deliberately with leadership; the bracketed default is a starting point.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2026-06-01T15:29:11.465Z</dcterms:created>
  <dcterms:modified xsi:type="dcterms:W3CDTF">2026-06-01T15:29:11.465Z</dcterms:modified>
  <dc:title xmlns:dc="http://purl.org/dc/elements/1.1/">Risk Management Methodology Standard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