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Secure Disposal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Confidential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  <w:i/>
                <w:color w:val="595959"/>
              </w:rPr>
              <w:t xml:space="preserve">«Minimum for this artifact. Your agency may raise this floor but not lower it.»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  <w:i/>
              </w:rPr>
              <w:t xml:space="preserve"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procedure accomplishes and when it is performed. One or two sentences.»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This procedure defines how [Agency Name] securely destroys data and storage media at the end of retention, by classification, and decommissions end-of-life hardware and software, so no recoverable Agency data leaves its control. It implements the Data Classification Policy and the Document Handling Standard.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the procedure covers and excludes; which systems or roles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Applies to: IT support and the roles that authorize and carry out disposal, and any vendor that destroys media or decommissions equipment for the Agency.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Covers: data and storage media at every classification, including drives, tapes, removable media, and printed records, and the decommissioning of end-of-life hardware and software.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Excludes: media the State or another agency destroys for systems the Agency does not operate. [State any local exclusions.]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must be true or in hand before starting: access, tools, approvals, prior steps.»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The Data Classification Policy, the Document Handling Standard, and the Data Retention Schedule are in force.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Approved destruction methods for each classification and media type are set, and the Data Disposal / Destruction Records exist to capture results.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The roles that authorize and perform destruction are assigned.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«Steps in execution order. One action per step. Name the responsible role per step. Plain English.»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Identify and authorize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identifies data or media reaching end of retention (from the Data Retention Schedule) or hardware reaching end of life.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owner authorizes destruction, confirms the item is no longer needed, and records its classification.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[Owner role]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Select method by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selects a destruction method matching the item's classification and media type: cryptographic erase or overwrite for reusable media, physical destruction (shred, degauss) for the most sensitive data or media leaving Agency control.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Where a vendor destroys the media, the Agency uses an approved vendor and obtains a certificate of destruction.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Destroy and decommission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or the approved vendor destroys the data or media by the selected method.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 / 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For end-of-life systems, IT removes Agency data, wipes or destroys storage, and records the decommissioning.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records each destruction (item, classification, method, operator, date, and certificate reference where issued) in the Data Disposal / Destruction Records.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operator confirms the procedure worked. State the observable result, not the action.»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For any disposed item the operator can show the authorization, the method used, and the destruction record, with a certificate of destruction where a vendor performed it. No end-of-life media leaves Agency control with recoverable data on it.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«Reference dependent artifacts by their Tracker name. Point, do not restate.»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Data Classification Policy; Document Handling Standard; Data Retention Schedule; Data Disposal / Destruction Records; CJIS Data Handling Addendum.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Little media to dispose of. One person wipes or physically destroys a drive when a machine is retired, shreds printed sensitive records, and notes what was done.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 named coordinator runs disposal for the county's shared systems, often using a shredding or destruction vendor and keeping the certificates.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Disposal runs from the asset-decommissioning workflow, with approved methods per classification, vendor certificates, and records reconciled against the retention schedule.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§4.1.4, §4.2.2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MP-6, MP-6(1), SI-12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  <w:i/>
              </w:rPr>
              <w:t xml:space="preserve">The executable side of secure disposal; the by-classification destruction rules are in the Document Handling Standard and the evidence is captured in the Data Disposal / Destruction Records (point, do not restate). Agency-supplied values in brackets: [Agency Name], the authorizing owner role, and the approved methods and vendor. CJIS and IDACS scope: if the items destroyed hold CJIS-regulated data, add CJIS Security Policy v5.9 §5.8.3 and 240 IAC 5 to the Source Authority and apply the CJIS overlay.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Secure Disposal Procedures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