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</w:rPr>
              <w:t xml:space="preserve">«Minimum for Policy artifacts. Governs email as a semi-trusted system isolated from real-time operations; the authentication settings live in the Email Authentication Configuration Records.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treats email as a semi-trusted system kept separate from real-time 9-1-1 operations. It sets acceptable use, handling of external mail and attachments, restrictions on mailbox delegation and inbox rules, the inspection expected, and how suspicious email is reported.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Acceptable use overlaps the Acceptable Use Policy and email administration overlaps the Role-Based Access Control Documentation; reference them rather than restating. Authentication settings live in the Email Authentication Configuration Records.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secures email and keeps it away from real-time call-handling. It defines safe handling of external mail, who may administer mailboxes, and the inspection email must pass, so a compromised inbox does not reach dispatch operations.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email accounts and the personnel, contractors, and vendors who use or administer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isolation of email from real-time operations, handling of external mail and links and attachments, restrictions on mailbox delegation and inbox rules, expected inspection and sandboxing, and reporting of suspicious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general acceptable-use conduct, governed by the Acceptable Use Policy; email-account provisioning, governed by the Access Control Policy; and the authentication settings, held in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Semi-trusted system: a system that connects to the outside and is therefore isolated and inspected, not treated as part of the trusted operational core.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Mailbox delegation: granting one user access to another user's mailbox.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shall run separate from real-time call-handling systems, so a compromise of email does not reach 9-1-1 operations.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Inbound email shall be inspected, with attachments and links filtered or sandboxed before delivery where the platform supports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External email shall be identifiable to the reader, and personnel handle links and attachments in external mail with caution.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Only approved, trained staff shall perform email administration, including mailbox delegation and the creation or change of inbox rules and automatic forwards.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Personnel shall report suspicious email through the Agency's reporting method, and reported messages are reviewed and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authentication (SPF, DKIM, DMARC, TLS) shall be configured and maintained per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who may administer email,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inspection, isolation, and authentication, and maintains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reported email and suspected compromise and escalates.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Handle external mail with care, do not change inbox rules without authorization, and report suspicious email.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[Director / Coordinator] monitors compliance. Unauthorized mailbox delegation or inbox rules are removed,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[Director / Coordinator], must state the reason and any compensating control,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email platform,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Use the security features your hosted email already includes: turn on spam and attachment filtering, mark external senders, restrict who can change forwarding rules to the director, and tell staff how to report a suspicious message. Keep email off the dispatch workstations where possible.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hardens the email platform, restricts administration to a named group, and reviews inbox-rule and forwarding changes; the security coordinator handles reported messages.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Email runs on a hardened, isolated platform with sandboxing, tightly controlled administration, and reported-message handling built into the security team workflow.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AC-6, SC-7, SI-3,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Email Security Policy for category 4.D. Internal; email carries no CJIS data by design and is isolated from real-time operations. Acceptable-use conduct is cross-referenced to the Acceptable Use Policy and email-administration access to the Role-Based Access Control Documentation, not restated. Authentication settings (SPF, DKIM, DMARC, TLS) are held in the Email Authentication Configuration Records, and email-server hardening in the Endpoint Hardening Checklist. Cross-referenced by Tracker name: Acceptable Use Policy, Role-Based Access Control Documentation, Email Authentication Configuration Records, Endpoint Hardening Checklist, Incident Response Plan. Confirm the precise NENA clause and the Agency's email platform.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Email Security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