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[Agency Name]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[all personnel who request, approve, or implement changes, including county or vendor IT].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[exclusions, if any; if none, write "None."]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«Who may administer DNS, and how DNS changes are approved and logged (assessment 4.C).»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«Maintenance of sensitive or critical systems under defined safeguards (assessment 5C-4).»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«Risk-scaled security assessment, including a cryptographic review, before a major change goes live (assessment 12A-3).»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[Change approver / advisory role]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[Security reviewer]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[Director / Coordinator],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[annually] and after [significant change to the Agency's systems or change process], by the [Owner role].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person, usually the director, approves changes and keeps a simple change log. Standard changes follow a short checklist; major or emergency changes get a second set of eyes from county or vendor IT and a pre-change backup.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approver or small advisory group reviews changes on a set cadence, with the security coordinator running the assessment gate for major changes. Records live in a shared change log.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advisory board governs changes across both centers, with formal risk scoring, a security assessment gate for major deployments, and change records in an ITSM system.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[Owner role] and the change-approver model (single approver for a small agency, a board for a large one); (2) the risk tiers and sign-off levels for standard, major, and emergency changes. No CJIS overlay: CJIS-regulated systems are maintained by the State via IDACS, outside PSAP scope, so this policy does not govern their change management. Cross-referenced artifacts use Tracker names: Change Request &amp; Approval Log, Emergency Change Procedures, System Configuration Baselines, DNS Security Configuration Record.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Change Management Policy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