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Session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 / CJIS</w:t>
            </w:r>
          </w:p>
          <w:p>
            <w:pPr>
              <w:spacing w:after="0"/>
            </w:pPr>
            <w:r>
              <w:rPr>
                <w:rFonts w:ascii="Aptos" w:hAnsi="Aptos"/>
                <w:color w:val="595959"/>
                <w:sz w:val="24"/>
              </w:rPr>
              <w:t xml:space="preserve">«Minimum for Policy artifacts. The / CJIS overlay is appended because session control governs access to systems reached through IDACS.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color w:val="595959"/>
                <w:sz w:val="24"/>
              </w:rPr>
              <w:t xml:space="preserve">This policy sets the rules for user sessions: individual authentication before every session, automatic lock and termination on inactivity, reauthentication for higher-risk actions, and termination on disconnect. It covers workstations and remote devices.</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color w:val="595959"/>
                <w:sz w:val="24"/>
              </w:rPr>
              <w:t xml:space="preserve">Session-capture settings and configured timeout values are recorded in the Session Monitoring Configuration Records; keep this policy to the rules, not the settings.</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0"/>
          <w:bCs w:val="false"/>
          <w:i w:val="false"/>
          <w:iCs w:val="false"/>
          <w:sz w:val="24"/>
          <w:szCs w:val="24"/>
        </w:rPr>
        <w:t xml:space="preserve">This policy governs how user sessions are established, maintained, and ended across Agency systems, so that every session ties to one identified person and no session stays open where it could be misused. It sets the rules; the Session Monitoring Configuration Records hold the configured values that enforce them.</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0"/>
          <w:bCs w:val="false"/>
          <w:i w:val="false"/>
          <w:iCs w:val="false"/>
          <w:sz w:val="24"/>
          <w:szCs w:val="24"/>
        </w:rPr>
        <w:t xml:space="preserve">Applies to: all personnel, contractors, and vendors who open a session on an Agency system, and every workstation, mobile device, and remote connection used to reach one.</w:t>
      </w:r>
    </w:p>
    <w:p>
      <w:pPr>
        <w:pStyle w:val="ListParagraph"/>
        <w:numPr>
          <w:ilvl w:val="0"/>
          <w:numId w:val="2"/>
        </w:numPr>
        <w:spacing w:after="60"/>
      </w:pPr>
      <w:r>
        <w:rPr>
          <w:rFonts w:ascii="Aptos" w:cs="Aptos" w:eastAsia="Aptos" w:hAnsi="Aptos"/>
          <w:b w:val="0"/>
          <w:bCs w:val="false"/>
          <w:i w:val="false"/>
          <w:iCs w:val="false"/>
          <w:sz w:val="24"/>
          <w:szCs w:val="24"/>
        </w:rPr>
        <w:t xml:space="preserve">Covers: individual authentication before each session, idle lock and termination, reauthentication for higher-risk actions, and termination on disconnect or failed periodic checks, for both on-site workstations and remote devices.</w:t>
      </w:r>
    </w:p>
    <w:p>
      <w:pPr>
        <w:pStyle w:val="ListParagraph"/>
        <w:numPr>
          <w:ilvl w:val="0"/>
          <w:numId w:val="2"/>
        </w:numPr>
        <w:spacing w:after="60"/>
      </w:pPr>
      <w:r>
        <w:rPr>
          <w:rFonts w:ascii="Aptos" w:cs="Aptos" w:eastAsia="Aptos" w:hAnsi="Aptos"/>
          <w:b w:val="0"/>
          <w:bCs w:val="false"/>
          <w:i w:val="false"/>
          <w:iCs w:val="false"/>
          <w:sz w:val="24"/>
          <w:szCs w:val="24"/>
        </w:rPr>
        <w:t xml:space="preserve">Excludes: the account lifecycle and credential rules, governed by the Access Control Policy and the Password &amp; Authentication Policy; and remote-connection security, governed by the Remote Access Policy.</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0"/>
          <w:bCs w:val="false"/>
          <w:i w:val="false"/>
          <w:iCs w:val="false"/>
          <w:sz w:val="24"/>
          <w:szCs w:val="24"/>
        </w:rPr>
        <w:t xml:space="preserve">Session: an authenticated period of access that begins at login and ends when the session is locked, logged out, or terminated.</w:t>
      </w:r>
    </w:p>
    <w:p>
      <w:pPr>
        <w:spacing w:after="120" w:before="0"/>
      </w:pPr>
      <w:r>
        <w:rPr>
          <w:rFonts w:ascii="Aptos" w:cs="Aptos" w:eastAsia="Aptos" w:hAnsi="Aptos"/>
          <w:b w:val="0"/>
          <w:bCs w:val="false"/>
          <w:i w:val="false"/>
          <w:iCs w:val="false"/>
          <w:sz w:val="24"/>
          <w:szCs w:val="24"/>
        </w:rPr>
        <w:t xml:space="preserve">Idle timeout: the period of inactivity after which a session locks or ends.</w:t>
      </w:r>
    </w:p>
    <w:p>
      <w:pPr>
        <w:spacing w:after="120" w:before="0"/>
      </w:pPr>
      <w:r>
        <w:rPr>
          <w:rFonts w:ascii="Aptos" w:cs="Aptos" w:eastAsia="Aptos" w:hAnsi="Aptos"/>
          <w:b w:val="0"/>
          <w:bCs w:val="false"/>
          <w:i w:val="false"/>
          <w:iCs w:val="false"/>
          <w:sz w:val="24"/>
          <w:szCs w:val="24"/>
        </w:rPr>
        <w:t xml:space="preserve">Reauthentication: proving identity again to continue after a timeout or before a higher-risk action.</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b w:val="0"/>
          <w:bCs w:val="false"/>
          <w:i w:val="false"/>
          <w:iCs w:val="false"/>
          <w:sz w:val="24"/>
          <w:szCs w:val="24"/>
        </w:rPr>
        <w:t xml:space="preserve">Every session shall begin with individual authentication so the session traces to one person. Shared or generic accounts are not used for interactive sessions.</w:t>
      </w:r>
    </w:p>
    <w:p>
      <w:pPr>
        <w:pStyle w:val="ListParagraph"/>
        <w:numPr>
          <w:ilvl w:val="0"/>
          <w:numId w:val="300"/>
        </w:numPr>
        <w:spacing w:after="60"/>
      </w:pPr>
      <w:r>
        <w:rPr>
          <w:rFonts w:ascii="Aptos" w:cs="Aptos" w:eastAsia="Aptos" w:hAnsi="Aptos"/>
          <w:b w:val="0"/>
          <w:bCs w:val="false"/>
          <w:i w:val="false"/>
          <w:iCs w:val="false"/>
          <w:sz w:val="24"/>
          <w:szCs w:val="24"/>
        </w:rPr>
        <w:t xml:space="preserve">Systems shall lock or terminate a session after a defined period of inactivity, set by system type in the Session Monitoring Configuration Records.</w:t>
      </w:r>
    </w:p>
    <w:p>
      <w:pPr>
        <w:pStyle w:val="ListParagraph"/>
        <w:numPr>
          <w:ilvl w:val="0"/>
          <w:numId w:val="300"/>
        </w:numPr>
        <w:spacing w:after="60"/>
      </w:pPr>
      <w:r>
        <w:rPr>
          <w:rFonts w:ascii="Aptos" w:cs="Aptos" w:eastAsia="Aptos" w:hAnsi="Aptos"/>
          <w:b w:val="0"/>
          <w:bCs w:val="false"/>
          <w:i w:val="false"/>
          <w:iCs w:val="false"/>
          <w:sz w:val="24"/>
          <w:szCs w:val="24"/>
        </w:rPr>
        <w:t xml:space="preserve">Higher-risk actions and elevated-privilege sessions shall require reauthentication on a shorter interval than routine access.</w:t>
      </w:r>
    </w:p>
    <w:p>
      <w:pPr>
        <w:pStyle w:val="ListParagraph"/>
        <w:numPr>
          <w:ilvl w:val="0"/>
          <w:numId w:val="300"/>
        </w:numPr>
        <w:spacing w:after="60"/>
      </w:pPr>
      <w:r>
        <w:rPr>
          <w:rFonts w:ascii="Aptos" w:cs="Aptos" w:eastAsia="Aptos" w:hAnsi="Aptos"/>
          <w:b w:val="0"/>
          <w:bCs w:val="false"/>
          <w:i w:val="false"/>
          <w:iCs w:val="false"/>
          <w:sz w:val="24"/>
          <w:szCs w:val="24"/>
        </w:rPr>
        <w:t xml:space="preserve">A session shall terminate on network disconnect, on sign-out, or when a periodic identity or device check fails.</w:t>
      </w:r>
    </w:p>
    <w:p>
      <w:pPr>
        <w:pStyle w:val="ListParagraph"/>
        <w:numPr>
          <w:ilvl w:val="0"/>
          <w:numId w:val="300"/>
        </w:numPr>
        <w:spacing w:after="60"/>
      </w:pPr>
      <w:r>
        <w:rPr>
          <w:rFonts w:ascii="Aptos" w:cs="Aptos" w:eastAsia="Aptos" w:hAnsi="Aptos"/>
          <w:b w:val="0"/>
          <w:bCs w:val="false"/>
          <w:i w:val="false"/>
          <w:iCs w:val="false"/>
          <w:sz w:val="24"/>
          <w:szCs w:val="24"/>
        </w:rPr>
        <w:t xml:space="preserve">Remote sessions shall run only from verified devices and approved remote-access methods, per the Remote Access Policy, and shall not operate from shared or unverified endpoints.</w:t>
      </w:r>
    </w:p>
    <w:p>
      <w:pPr>
        <w:pStyle w:val="ListParagraph"/>
        <w:numPr>
          <w:ilvl w:val="0"/>
          <w:numId w:val="300"/>
        </w:numPr>
        <w:spacing w:after="60"/>
      </w:pPr>
      <w:r>
        <w:rPr>
          <w:rFonts w:ascii="Aptos" w:cs="Aptos" w:eastAsia="Aptos" w:hAnsi="Aptos"/>
          <w:b w:val="0"/>
          <w:bCs w:val="false"/>
          <w:i w:val="false"/>
          <w:iCs w:val="false"/>
          <w:sz w:val="24"/>
          <w:szCs w:val="24"/>
        </w:rPr>
        <w:t xml:space="preserve">Session events shall be recorded and monitored as set in the Session Monitoring Configuration Records; anomalies are handled under the Incident Response Plan.</w:t>
      </w:r>
    </w:p>
    <w:p>
      <w:pPr>
        <w:pStyle w:val="ListParagraph"/>
        <w:numPr>
          <w:ilvl w:val="0"/>
          <w:numId w:val="300"/>
        </w:numPr>
        <w:spacing w:after="60"/>
      </w:pPr>
      <w:r>
        <w:rPr>
          <w:rFonts w:ascii="Aptos" w:cs="Aptos" w:eastAsia="Aptos" w:hAnsi="Aptos"/>
          <w:b w:val="0"/>
          <w:bCs w:val="false"/>
          <w:i w:val="false"/>
          <w:iCs w:val="false"/>
          <w:sz w:val="24"/>
          <w:szCs w:val="24"/>
        </w:rPr>
        <w:t xml:space="preserve">Access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Owns this policy, sets session rules by system type,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Configures timeout, lock, and termination settings and records them in the Session Monitoring Configuration Records.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Reviews session monitoring for anomalies and reports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Authenticate individually, lock or close sessions when stepping away, and never share credentials.</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0"/>
          <w:bCs w:val="false"/>
          <w:i w:val="false"/>
          <w:iCs w:val="false"/>
          <w:sz w:val="24"/>
          <w:szCs w:val="24"/>
        </w:rPr>
        <w:t xml:space="preserve">The [Director / Coordinator] monitors compliance. Sessions that bypass individual authentication or timeout controls are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0"/>
          <w:bCs w:val="false"/>
          <w:i w:val="false"/>
          <w:iCs w:val="false"/>
          <w:sz w:val="24"/>
          <w:szCs w:val="24"/>
        </w:rPr>
        <w:t xml:space="preserve">Exceptions require written approval from the [Director / Coordinator], must state the system, the reason, and any compensating control, and expire after [period] unless renewed. A shared operational console, where unavoidable, still ties each action to an identified user by another means.</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0"/>
          <w:bCs w:val="false"/>
          <w:i w:val="false"/>
          <w:iCs w:val="false"/>
          <w:sz w:val="24"/>
          <w:szCs w:val="24"/>
        </w:rPr>
        <w:t xml:space="preserve">This policy is reviewed at least annually and after any significant change to the Agency's systems or access methods,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Adopt as written. With no in-house IT, use the lock and timeout settings the workstations and CAD already offer, set a short idle lock, and require each dispatcher to log in individually. Post a reminder to lock the console when stepping away.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Shared county IT sets timeouts by system type and records them, requires reauthentication for admin actions, and reviews session logs with the security coordinator.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Timeouts, reauthentication intervals, and device checks are centrally enforced and monitored, with session events fed to the SIEM and anomalies alerted in near real time.</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0"/>
          <w:bCs w:val="false"/>
          <w:i w:val="false"/>
          <w:iCs w:val="false"/>
          <w:sz w:val="24"/>
          <w:szCs w:val="24"/>
        </w:rPr>
        <w:t xml:space="preserve">CJIS Handling: Sessions that reach CJIS-regulated data in Indiana through IDACS are governed in addition by the FBI CJIS Security Policy §5.5 (Access Control) and §5.6 (Identification and Authentication) and 240 IAC 5. For CJIS-specific handling, follow the CJIS Data Handling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 xml:space="preserve">NENA-STA-040.2-2024: §6.2 (Account Management)</w:t>
            </w:r>
          </w:p>
          <w:p>
            <w:pPr>
              <w:spacing w:after="140"/>
            </w:pPr>
            <w:r>
              <w:rPr>
                <w:rFonts w:ascii="Aptos" w:hAnsi="Aptos"/>
                <w:b w:val="0"/>
                <w:sz w:val="24"/>
              </w:rPr>
              <w:t xml:space="preserve">NIST SP 800-53 Rev. 5: AC-2, AC-11, AC-12, IA-2, IA-11</w:t>
            </w:r>
          </w:p>
          <w:p>
            <w:pPr>
              <w:spacing w:after="140"/>
            </w:pPr>
            <w:r>
              <w:rPr>
                <w:rFonts w:ascii="Aptos" w:hAnsi="Aptos"/>
                <w:b w:val="0"/>
                <w:sz w:val="24"/>
              </w:rPr>
              <w:t xml:space="preserve">Indiana statutes and administrative code: 240 IAC 5: IDACS Security (where IDACS is in scope)</w:t>
            </w:r>
          </w:p>
          <w:p>
            <w:pPr>
              <w:spacing w:after="140"/>
            </w:pPr>
            <w:r>
              <w:rPr>
                <w:rFonts w:ascii="Aptos" w:hAnsi="Aptos"/>
                <w:b w:val="0"/>
                <w:sz w:val="24"/>
              </w:rPr>
              <w:t xml:space="preserve">CJIS Security Policy v5.9: §5.5 (Access Control), §5.6 (Identification and Authentication)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Drafter’s note </w:t>
            </w:r>
            <w:r>
              <w:rPr>
                <w:rFonts w:ascii="Aptos" w:hAnsi="Aptos"/>
                <w:b w:val="0"/>
                <w:color w:val="595959"/>
                <w:sz w:val="24"/>
              </w:rPr>
              <w:t>(internal, delete before publishing)</w:t>
            </w:r>
          </w:p>
          <w:p>
            <w:pPr>
              <w:spacing w:after="140"/>
            </w:pPr>
            <w:r>
              <w:rPr>
                <w:rFonts w:ascii="Aptos" w:hAnsi="Aptos"/>
                <w:color w:val="595959"/>
                <w:sz w:val="24"/>
              </w:rPr>
              <w:t xml:space="preserve">Session Management Policy for category 2.F. Classification Internal / CJIS: session control governs access to CJIS-regulated systems reached through IDACS, so the overlay applies and CJIS-specific handling is cross-referenced to the CJIS Data Handling Addendum, not restated. Configured timeout values and session-capture settings live in the Session Monitoring Configuration Records, to hold this policy at requirement level. Cross-referenced by Tracker name: Access Control Policy, Password &amp; Authentication Policy, Remote Access Policy, Session Monitoring Configuration Records, Incident Response Plan, CJIS Data Handling Addendum. Confirm the precise NENA NG-SEC clause and the Agency's timeout values and exception period.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Session Management Policy - FORM</dc:title>
</cp:coreProperties>
</file>

<file path=docProps/custom.xml><?xml version="1.0" encoding="utf-8"?>
<Properties xmlns="http://schemas.openxmlformats.org/officeDocument/2006/custom-properties" xmlns:vt="http://schemas.openxmlformats.org/officeDocument/2006/docPropsVTypes"/>
</file>