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Anti-Phishing / Spam Filter Configuration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0"/>
                <w:iCs w:val="false"/>
                <w:sz w:val="24"/>
                <w:szCs w:val="24"/>
              </w:rPr>
              <w:t xml:space="preserve">Classification: </w:t>
            </w:r>
            <w:r>
              <w:rPr>
                <w:rFonts w:ascii="Aptos" w:cs="Aptos" w:eastAsia="Aptos" w:hAnsi="Aptos"/>
                <w:b w:val="0"/>
                <w:bCs/>
                <w:i w:val="0"/>
                <w:iCs w:val="false"/>
                <w:sz w:val="24"/>
                <w:szCs w:val="24"/>
              </w:rPr>
              <w:t xml:space="preserve">Restricted</w:t>
            </w:r>
          </w:p>
          <w:p>
            <w:pPr>
              <w:spacing w:after="0"/>
            </w:pPr>
            <w:r>
              <w:rPr>
                <w:rFonts w:ascii="Aptos" w:cs="Aptos" w:eastAsia="Aptos" w:hAnsi="Aptos"/>
                <w:i/>
                <w:iCs/>
                <w:color w:val="595959"/>
                <w:sz w:val="24"/>
                <w:szCs w:val="24"/>
              </w:rPr>
              <w:t xml:space="preserve">«Minimum for Configuration Record artifacts. Stays Restricted: this record reveals the Agency’s mail-filtering defenses.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 and Scope</w:t>
      </w:r>
    </w:p>
    <w:p>
      <w:pPr>
        <w:spacing w:after="140"/>
      </w:pPr>
      <w:r>
        <w:rPr>
          <w:rFonts w:ascii="Aptos" w:cs="Aptos" w:eastAsia="Aptos" w:hAnsi="Aptos"/>
          <w:i/>
          <w:iCs/>
          <w:color w:val="595959"/>
          <w:sz w:val="24"/>
          <w:szCs w:val="24"/>
        </w:rPr>
        <w:t xml:space="preserve">«What system this record documents and why. A Configuration Record captures the as-built state; it is evidence of compliance with the governing Standard, not the rule itself.»</w:t>
      </w:r>
    </w:p>
    <w:p>
      <w:pPr>
        <w:spacing w:after="120" w:before="0"/>
      </w:pPr>
      <w:r>
        <w:rPr>
          <w:rFonts w:ascii="Aptos" w:cs="Aptos" w:eastAsia="Aptos" w:hAnsi="Aptos"/>
          <w:b w:val="false"/>
          <w:bCs w:val="false"/>
          <w:i w:val="false"/>
          <w:iCs w:val="false"/>
          <w:sz w:val="24"/>
          <w:szCs w:val="24"/>
        </w:rPr>
        <w:t xml:space="preserve">This record documents the as-built configuration of the Agency’s email filtering: the anti-spam and anti-phishing tooling, how inbound attachments and links are scanned or sandboxed, what happens to mail that is flagged, and how malicious mail raises an alert. It is evidence of compliance with the Email Security Policy, not the rule itself. Record settings as they are configured, not as they should be.</w:t>
      </w:r>
    </w:p>
    <w:p>
      <w:pPr>
        <w:pStyle w:val="Heading2"/>
        <w:spacing w:after="100" w:before="220"/>
      </w:pPr>
      <w:r>
        <w:rPr>
          <w:rFonts w:ascii="Aptos" w:cs="Aptos" w:eastAsia="Aptos" w:hAnsi="Aptos"/>
          <w:b/>
          <w:bCs/>
          <w:color w:val="1B3A5C"/>
          <w:sz w:val="26"/>
          <w:szCs w:val="26"/>
        </w:rPr>
        <w:t xml:space="preserve">2. System Identification</w:t>
      </w:r>
    </w:p>
    <w:p>
      <w:pPr>
        <w:spacing w:after="140"/>
      </w:pPr>
      <w:r>
        <w:rPr>
          <w:rFonts w:ascii="Aptos" w:cs="Aptos" w:eastAsia="Aptos" w:hAnsi="Aptos"/>
          <w:i/>
          <w:iCs/>
          <w:color w:val="595959"/>
          <w:sz w:val="24"/>
          <w:szCs w:val="24"/>
        </w:rPr>
        <w:t xml:space="preserve">«Identify the system precisely. Tie the Asset ID back to the Master Asset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[mail filtering gateway / hosted mail-security service]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[production]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[on-prem / cloud / hosted mail]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[ID from Master Asset Inventory]</w:t>
            </w:r>
          </w:p>
        </w:tc>
      </w:tr>
    </w:tbl>
    <w:p>
      <w:pPr>
        <w:pStyle w:val="Heading2"/>
        <w:spacing w:after="100" w:before="220"/>
      </w:pPr>
      <w:r>
        <w:rPr>
          <w:rFonts w:ascii="Aptos" w:cs="Aptos" w:eastAsia="Aptos" w:hAnsi="Aptos"/>
          <w:b/>
          <w:bCs/>
          <w:color w:val="1B3A5C"/>
          <w:sz w:val="26"/>
          <w:szCs w:val="26"/>
        </w:rPr>
        <w:t xml:space="preserve">3. Current Configuration</w:t>
      </w:r>
    </w:p>
    <w:p>
      <w:pPr>
        <w:spacing w:after="140"/>
      </w:pPr>
      <w:r>
        <w:rPr>
          <w:rFonts w:ascii="Aptos" w:cs="Aptos" w:eastAsia="Aptos" w:hAnsi="Aptos"/>
          <w:i/>
          <w:iCs/>
          <w:color w:val="595959"/>
          <w:sz w:val="24"/>
          <w:szCs w:val="24"/>
        </w:rPr>
        <w:t xml:space="preserve">«The as-built state. Record settings as they are, not as they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[Inbound scanning scope]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[attachments, links, message body]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[what inbound mail is inspected for]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[Attachment sandboxing / detonation]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 off; file types held]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[suspicious attachments analyzed before delivery]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[Link protection]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 off; time-of-click rewrite]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[malicious-URL blocking on inbound links]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[Action on detection]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[block / quarantine / tag]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[by verdict: malware, phishing, spam]</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[External-sender marking]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 off]</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[external banner applied to inbound mail]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[Outbound scanning]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 off]</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malware and policy checks on outbound mail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[Quarantine and release]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[who may release; retention period]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[release restricted to approved, trained staff]</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[Alerting and monitoring]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[what raises an alert; where it goes]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feeds the Alert Triage &amp; Escalation Procedure</w:t>
            </w:r>
          </w:p>
        </w:tc>
      </w:tr>
    </w:tbl>
    <w:p>
      <w:pPr>
        <w:pStyle w:val="Heading2"/>
        <w:spacing w:after="100" w:before="220"/>
      </w:pPr>
      <w:r>
        <w:rPr>
          <w:rFonts w:ascii="Aptos" w:cs="Aptos" w:eastAsia="Aptos" w:hAnsi="Aptos"/>
          <w:b/>
          <w:bCs/>
          <w:color w:val="1B3A5C"/>
          <w:sz w:val="26"/>
          <w:szCs w:val="26"/>
        </w:rPr>
        <w:t xml:space="preserve">4. Approved Settings and Deviation Log</w:t>
      </w:r>
    </w:p>
    <w:p>
      <w:pPr>
        <w:spacing w:after="140"/>
      </w:pPr>
      <w:r>
        <w:rPr>
          <w:rFonts w:ascii="Aptos" w:cs="Aptos" w:eastAsia="Aptos" w:hAnsi="Aptos"/>
          <w:i/>
          <w:iCs/>
          <w:color w:val="595959"/>
          <w:sz w:val="24"/>
          <w:szCs w:val="24"/>
        </w:rPr>
        <w:t xml:space="preserve">«The approved baseline value for each setting and any approved deviation, with who approved it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[setting]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[value]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 / 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[setting]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[value]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 / 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40"/>
      </w:pPr>
      <w:r>
        <w:rPr>
          <w:rFonts w:ascii="Aptos" w:cs="Aptos" w:eastAsia="Aptos" w:hAnsi="Aptos"/>
          <w:i/>
          <w:iCs/>
          <w:color w:val="595959"/>
          <w:sz w:val="24"/>
          <w:szCs w:val="24"/>
        </w:rPr>
        <w:t xml:space="preserve">«How and how often the as-built state is checked against the approved baseline, and who does it. Each change is recorded in the Change History below.»</w:t>
      </w:r>
    </w:p>
    <w:p>
      <w:pPr>
        <w:spacing w:after="120" w:before="0"/>
      </w:pPr>
      <w:r>
        <w:rPr>
          <w:rFonts w:ascii="Aptos" w:cs="Aptos" w:eastAsia="Aptos" w:hAnsi="Aptos"/>
          <w:b w:val="false"/>
          <w:bCs w:val="false"/>
          <w:i w:val="false"/>
          <w:iCs w:val="false"/>
          <w:sz w:val="24"/>
          <w:szCs w:val="24"/>
        </w:rPr>
        <w:t xml:space="preserve">Validated against the Email Security Policy at least [quarterly] by the [Owner role]; filter changes and new detection rules are recorded in the Change History below.</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 central tooling to manage. Use the filtering built into the hosted mail service (spam and phishing protection, attachment scanning) and record which features are on. One person confirms the settings on a set cadence.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runs the mail-security gateway or hosted service, records the inbound and outbound settings across the Agency, and tunes detection rules. Quarantine release is limited to trained staff.</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managed mail-security platform enforces sandboxing, link protection, and external-sender marking, with detection alerts feeding the SIEM and the Alert Triage &amp; Escalation Procedure. Settings are reviewed on a defined cycle.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0"/>
                <w:bCs w:val="false"/>
                <w:i w:val="0"/>
                <w:iCs w:val="false"/>
                <w:sz w:val="24"/>
                <w:szCs w:val="24"/>
              </w:rPr>
              <w:t xml:space="preserve">NENA-STA-040.2-2024: §5.6.4 (Intrusion Monitoring and Detection); §6.19 (Endpoint Security); §6.20 (Email)</w:t>
            </w:r>
          </w:p>
          <w:p>
            <w:pPr>
              <w:spacing w:after="40" w:before="0"/>
            </w:pPr>
            <w:r>
              <w:rPr>
                <w:rFonts w:ascii="Aptos" w:cs="Aptos" w:eastAsia="Aptos" w:hAnsi="Aptos"/>
                <w:b w:val="0"/>
                <w:bCs w:val="false"/>
                <w:i w:val="0"/>
                <w:iCs w:val="false"/>
                <w:sz w:val="24"/>
                <w:szCs w:val="24"/>
              </w:rPr>
              <w:t xml:space="preserve">NIST SP 800-53 Rev. 5: SC-7, SI-3, SI-4, SI-8</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reviewer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Change History</w:t>
      </w:r>
    </w:p>
    <w:p>
      <w:pPr>
        <w:spacing w:after="140"/>
      </w:pPr>
      <w:r>
        <w:rPr>
          <w:rFonts w:ascii="Aptos" w:cs="Aptos" w:eastAsia="Aptos" w:hAnsi="Aptos"/>
          <w:i/>
          <w:iCs/>
          <w:color w:val="595959"/>
          <w:sz w:val="24"/>
          <w:szCs w:val="24"/>
        </w:rPr>
        <w:t xml:space="preserve">«This table is the Configuration Record’s required change-history element. Add one row per configuration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Anti-Phishing / Spam Filter Configuration Records for category 4.D. Restricted: reveals the Agency’s mail-filtering defenses. This record documents the as-built mail filtering and implements the Email Security Policy; authentication settings (SPF, DKIM, DMARC, TLS) live in the Email Authentication Configuration Records, and alert handling in the Alert Triage &amp; Escalation Procedure. Name the filtering system rather than restating vendor documentation. Confirm the Agency’s inbound and outbound scanning scope, sandboxing status, detection actions, and quarantine-release authority.</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Anti-Phishing / Spam Filter Configuration Records - FORM</dc:title>
</cp:coreProperties>
</file>

<file path=docProps/custom.xml><?xml version="1.0" encoding="utf-8"?>
<Properties xmlns="http://schemas.openxmlformats.org/officeDocument/2006/custom-properties" xmlns:vt="http://schemas.openxmlformats.org/officeDocument/2006/docPropsVTypes"/>
</file>