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sz w:val="40"/>
          <w:szCs w:val="40"/>
        </w:rPr>
        <w:t xml:space="preserve">Endpoint Hardening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«Minimum for this hardening checklist is Restricted: a completed copy maps the soft spots of a specific device. Raise to Confidential if a populated copy names individuals. Your agency may raise this floor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[role]  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Device class: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[general endpoint / email server / VoIP or multimedia server]  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Asset ID: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[from the Master Asset Inventory]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System / device: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[system or device assessed]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i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/>
                <w:i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This template is ready to adopt. Replace every [BRACKETED] field with your agency’s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/>
                <w:i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6"/>
          <w:szCs w:val="26"/>
        </w:rPr>
        <w:t xml:space="preserve">1. Hardening Checklist</w:t>
      </w:r>
    </w:p>
    <w:p>
      <w:pPr>
        <w:spacing w:after="140"/>
      </w:pPr>
      <w:r>
        <w:rPr>
          <w:rFonts w:ascii="Aptos" w:cs="Aptos" w:eastAsia="Aptos" w:hAnsi="Aptos"/>
          <w:i/>
          <w:color w:val="595959"/>
          <w:sz w:val="24"/>
          <w:szCs w:val="24"/>
        </w:rPr>
        <w:t xml:space="preserve">«Run this checklist per device. Mark Y, N, or NA for every item and record evidence on each line. Control rows trace to the System Configuration Baselines.»</w:t>
      </w:r>
    </w:p>
    <w:p>
      <w:pPr>
        <w:spacing w:after="140"/>
      </w:pPr>
      <w:r>
        <w:rPr>
          <w:rFonts w:ascii="Aptos" w:hAnsi="Aptos" w:cs="Aptos"/>
          <w:sz w:val="24"/>
          <w:szCs w:val="24"/>
        </w:rPr>
        <w:t xml:space="preserve">Every device completes Band 1A. Email servers also complete Band 1B. VoIP, SIP/RTP, and multimedia-ingestion servers also complete Band 1C. Items in a band that does not apply are marked NA.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1A. General Endpoint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Unnecessary services, ports, and protocols are disabled (least functionality).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Default and sample accounts are removed or disabled, and default passwords are changed.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Anti-malware or EDR is installed, running, and current (recorded in the Endpoint Security Software Inventory).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host firewall is enabled and set to the approved baseline.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screen locks after [lock timeout] minutes of inactivity and requires re-authentication.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operating system and applications are patched to the current approved level.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Full-disk encryption is enabled on devices that hold or access sensitive data.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Automatic script and macro execution is restricted (for example, blocked Office macros, no removable-media autorun).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configuration matches the System Configuration Baselines for this device type.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1B. Email-Server Hardening (email servers and gateways)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SPF is published and enforced for the Agency’s sending domains.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DKIM signing is enabled and the keys are valid.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DMARC is published with an enforcing policy (quarantine or reject).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TLS is required for inbound and outbound mail transport.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Open relay is disabled and authentication is required to send.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Spam and malware filtering is enabled and current.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1C. VoIP / Multimedia-Server Hardening (VoIP, SIP/RTP, multimedia-ingestion servers)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signaling is encrypted (SIP over TLS) where the platform and providers support it.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Media is encrypted (SRTP) for sensitive call content where supported.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services are limited to required ports and interfaces, and unused codecs and services are disabled.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Inbound file and multimedia handling is sandboxed or filtered (see the Multimedia &amp; File Ingestion Sanitization Procedure).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Administrative interfaces are not exposed to untrusted networks.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Boundary protection (session border controller or equivalent) is in place.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[evidence / note]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Non-Compliance Escalation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to do when an item is marked N: who is notified, how it is recorded (link the Risk / Finding Register), and the timeframe.»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When an item is marked N, the [Director / Coordinator] is notified, the gap is recorded in the Risk / Finding Register with a remediation owner and date, and the device is reassessed after remediation. A high-risk gap on a critical system is escalated immediately.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Run the checklist by hand on each device at setup and at each review; usually the director or county IT completes it. Bands 1B and 1C apply only if the Agency runs its own email or VoIP/multimedia servers, which many small centers do not; mark those NA.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Shared IT runs the checklist on new and existing devices on a set cadence, draws control rows from the System Configuration Baselines, and files completed checklists with the configuration records.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Push the baseline through managed configuration, scan for drift, and use the checklist as the point-in-time record. The security role reviews exceptions.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/>
                <w:sz w:val="24"/>
                <w:szCs w:val="24"/>
              </w:rPr>
              <w:t xml:space="preserve">NENA-STA-040.2-2024: §6.19, §6.20, §6.21, §6.23.4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/>
                <w:sz w:val="24"/>
                <w:szCs w:val="24"/>
              </w:rPr>
              <w:t xml:space="preserve">NIST SP 800-53 Rev. 5: CM-2, CM-6, CM-7, SC-8, SI-3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[Completed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[Reviewed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Drafter’s note (internal, delete before publishing):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The Agency fills [Agency Name], version, dates, roles, the screen-lock timeout, and the asset details. Control rows should match the Agency’s System Configuration Baselines; update them if the baseline differs. Bands 1B and 1C apply only where the Agency operates its own email or VoIP/multimedia servers; mark NA where a band does not apply.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any [BRACKETED] field whose value could not be determined from project context, and any decision that needs confirmation before this artifact is finalized.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2026-06-01T15:29:11.487Z</dcterms:created>
  <dcterms:modified xsi:type="dcterms:W3CDTF">2026-06-01T15:29:11.487Z</dcterms:modified>
  <dc:title xmlns:dc="http://purl.org/dc/elements/1.1/">Endpoint Hardening Checklist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