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Emergency Change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[IT Support Lead]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 Minimum for this artifact: an expedited process, not defensive configuration. Your agency may raise but not lower it.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40"/>
            </w:pPr>
            <w:r>
              <w:rPr>
                <w:rFonts w:ascii="Aptos" w:cs="Aptos" w:eastAsia="Aptos" w:hAnsi="Aptos"/>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sz w:val="24"/>
                <w:szCs w:val="24"/>
              </w:rPr>
              <w:t xml:space="preserve">Placeholder key: [BRACKETED] = fill in   ·   [REQUIRED] (bold) = required field   ·   « » = guidance to delete.</w:t>
            </w:r>
          </w:p>
          <w:p>
            <w:pPr>
              <w:spacing w:after="140"/>
            </w:pPr>
            <w:r>
              <w:rPr>
                <w:rFonts w:ascii="Aptos" w:cs="Aptos" w:eastAsia="Aptos" w:hAnsi="Aptos"/>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 xml:space="preserve">This procedure sets the expedited path for a critical change or patch that cannot wait for the normal change cycle. It names who may authorize an emergency change, what must be documented at the time, and how the change is reconciled back into change management afterward.</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[IT support and the authorizing official]</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critical changes or patches that cannot wait for the normal change cycle, for example an active incident, an imminent outage, or a critical security patch</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routine changes and standing exceptions, which follow the Change Management Policy</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false"/>
          <w:iCs w:val="false"/>
          <w:sz w:val="24"/>
          <w:szCs w:val="24"/>
        </w:rPr>
        <w:t xml:space="preserve">The Change Management Policy and its definition of change types</w:t>
      </w:r>
    </w:p>
    <w:p>
      <w:pPr>
        <w:pStyle w:val="ListParagraph"/>
        <w:numPr>
          <w:ilvl w:val="0"/>
          <w:numId w:val="3"/>
        </w:numPr>
        <w:spacing w:after="60"/>
      </w:pPr>
      <w:r>
        <w:rPr>
          <w:rFonts w:ascii="Aptos" w:cs="Aptos" w:eastAsia="Aptos" w:hAnsi="Aptos"/>
          <w:b w:val="false"/>
          <w:bCs w:val="false"/>
          <w:i w:val="false"/>
          <w:iCs w:val="false"/>
          <w:sz w:val="24"/>
          <w:szCs w:val="24"/>
        </w:rPr>
        <w:t xml:space="preserve">A reachable emergency authorizer, the director or IT lead, at all times</w:t>
      </w:r>
    </w:p>
    <w:p>
      <w:pPr>
        <w:pStyle w:val="ListParagraph"/>
        <w:numPr>
          <w:ilvl w:val="0"/>
          <w:numId w:val="3"/>
        </w:numPr>
        <w:spacing w:after="60"/>
      </w:pPr>
      <w:r>
        <w:rPr>
          <w:rFonts w:ascii="Aptos" w:cs="Aptos" w:eastAsia="Aptos" w:hAnsi="Aptos"/>
          <w:b w:val="false"/>
          <w:bCs w:val="false"/>
          <w:i w:val="false"/>
          <w:iCs w:val="false"/>
          <w:sz w:val="24"/>
          <w:szCs w:val="24"/>
        </w:rPr>
        <w:t xml:space="preserve">Access to the Change Request &amp; Approval Log for reconciliation</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280"/>
        <w:gridCol w:w="2000"/>
      </w:tblGrid>
      <w:tr>
        <w:trPr>
          <w:cantSplit/>
          <w:tblHeader/>
        </w:trPr>
        <w:tc>
          <w:tcPr>
            <w:tcW w:type="dxa" w:w="10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62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the change meets the emergency threshold: critical patch, active incident, or imminent outage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[Requestor / IT support]</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Obtain expedited authorization from the [emergency authorizer]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IT lead]</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minimum documentation now: what is changing, why, and who authorized it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Implement the change, with a second-person check where staffing allows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the affected service is restored and stable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 operations]</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Reconcile into change management: log it in the Change Request &amp; Approval Log within [reconciliation timeframe] with a risk and impact assessment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 the emergency change at the next change review</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[Approver]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 xml:space="preserve">Every emergency change is authorized by the named role, documented at the time, and reconciled into the Change Request &amp; Approval Log within the stated window; the next change review confirms none bypassed the process.</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 xml:space="preserve">Change Management Policy; Change Request &amp; Approval Log; Patch Testing Procedure; Backup Call-Handling / Dispatch Continuity Procedure.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authorizes emergency changes and the county or vendor IT contact carries them out. Documentation can be a short note at the time, logged in the change record within a day and reviewed later.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named on-call authorizer approves; the shared IT team implements and reconciles the change into the change log on the next business day.</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defined emergency-change authority and workflow, second-person verification, and reconciliation into the change system with review at the change board.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140"/>
            </w:pPr>
            <w:r>
              <w:rPr>
                <w:rFonts w:ascii="Aptos" w:cs="Aptos" w:eastAsia="Aptos" w:hAnsi="Aptos"/>
                <w:i w:val="false"/>
                <w:iCs w:val="false"/>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sz w:val="24"/>
                <w:szCs w:val="24"/>
              </w:rPr>
              <w:t xml:space="preserve">NENA-STA-040.2-2024: §4.4, §5.5</w:t>
            </w:r>
          </w:p>
          <w:p>
            <w:pPr>
              <w:spacing w:after="40" w:before="0"/>
            </w:pPr>
            <w:r>
              <w:rPr>
                <w:rFonts w:ascii="Aptos" w:cs="Aptos" w:eastAsia="Aptos" w:hAnsi="Aptos"/>
                <w:sz w:val="24"/>
                <w:szCs w:val="24"/>
              </w:rPr>
              <w:t xml:space="preserve">NIST SP 800-53 Rev. 5: CM-3, CM-5, SI-2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Drafter's note </w:t>
            </w:r>
            <w:r>
              <w:rPr>
                <w:rFonts w:ascii="Aptos" w:cs="Aptos" w:eastAsia="Aptos" w:hAnsi="Aptos"/>
                <w:color w:val="595959"/>
                <w:sz w:val="24"/>
                <w:szCs w:val="24"/>
              </w:rPr>
              <w:t xml:space="preserve">(internal, delete before publishing)</w:t>
            </w:r>
          </w:p>
          <w:p>
            <w:pPr>
              <w:spacing w:after="140"/>
            </w:pPr>
            <w:r>
              <w:rPr>
                <w:rFonts w:ascii="Aptos" w:cs="Aptos" w:eastAsia="Aptos" w:hAnsi="Aptos"/>
                <w:sz w:val="24"/>
                <w:szCs w:val="24"/>
              </w:rPr>
              <w:t xml:space="preserve">Standard Procedure shell, kept as-is. The Scope states the emergency threshold so the expedited path is not a routine bypass; standing exceptions to the normal change process stay with the Change Management Policy, while this procedure covers emergency change.</w:t>
            </w:r>
          </w:p>
          <w:p>
            <w:pPr>
              <w:spacing w:after="140"/>
            </w:pPr>
            <w:r>
              <w:rPr>
                <w:rFonts w:ascii="Aptos" w:cs="Aptos" w:eastAsia="Aptos" w:hAnsi="Aptos"/>
                <w:sz w:val="24"/>
                <w:szCs w:val="24"/>
              </w:rPr>
              <w:t xml:space="preserve">The reconciliation step and verification criteria tie every emergency change back into the Change Request &amp; Approval Log. Agency-supplied values in brackets: [Agency Name], owner and signing roles, version and dates, the emergency authorizer, the reconciliation window, and the roles named per step.</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Emergency Change Procedures - FORM</dc:title>
</cp:coreProperties>
</file>

<file path=docProps/custom.xml><?xml version="1.0" encoding="utf-8"?>
<Properties xmlns="http://schemas.openxmlformats.org/officeDocument/2006/custom-properties" xmlns:vt="http://schemas.openxmlformats.org/officeDocument/2006/docPropsVTypes"/>
</file>