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SIEM / Monitoring Tool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Configuration Record artifacts. Stays Restricted in nearly all cases; these records reveal active security settings. Raise to Confidential only if a named custodian creates personal security risk.»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system this record documents and why. A Configuration Record captures the as-built state; it is evidence of compliance with the governing Standard, not the rule itself.»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record documents the as-built configuration of the Agency’s central security monitoring: the SIEM and other monitoring tools, the log sources they ingest, and the correlation rules that run on them. Scope is the central monitoring platform only. Per-system session capture is documented in the Session Monitoring Configuration Records, and sensor configuration in the IDS/IPS Configuration Records. This record implements the Continuous Monitoring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«Identify the system precisely. Tie the Asset ID back to the Master Asset Inventory.»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[SIEM / central monitoring platform]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[production / test / DR]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[on-prem / cloud / site]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[ID from Master Asset Inventory]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as-built state. Record settings as they are, not as they should be.»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[Log retention period]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[e.g., 12 months online]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[per the Log Retention Schedule]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[Correlation rules enabled]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[count / ruleset]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[tuned to ECC patterns]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[Alerting thresholds]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[value]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feeds the Alert Triage &amp; Escalation Procedure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[Time source]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[NTP source]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[per the NTP Configuration Documentation]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3A. Log Sources Ingested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Source system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Ingested (Y / 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Events captured / owner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[Firewall / perimeter]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[Y]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[allow/deny, config changes]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[IDS / IPS sensors]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[Y]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[alerts; see IDS/IPS Configuration Records]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[DNS servers]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[Y / N]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[events captured]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[Session / authentication events]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[Y / N]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[events captured]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[Endpoint / EDR]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[Y / N]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[events captured]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[Key-management / certificate systems]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[Y / N]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[events captured]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approved baseline value for each setting and any approved deviation, with who approved it and when.»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[setting]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[value]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[Y / N]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[setting]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[value]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[Y / N]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and how often the as-built state is checked against the approved baseline, and who does it. Each change is recorded in the Change History below.»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Validated against the Continuous Monitoring Plan at least [quarterly] by the [Owner role]; tuning changes and new log sources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 SIEM is expected. Record what monitoring exists (router, firewall, endpoint anti-malware alerts) and where those logs go. The manual equivalent is a documented weekly review of the available logs, noted here.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shared or hosted SIEM or log-management service. Record the platform, the log sources it ingests, retention, and who reviews alerts.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managed SIEM with broad log-source coverage, tuned correlation rules, and defined retention. This record is the as-built evidence, reconciled at each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§5.6.2 (Security Event Logging); §5.6.3 (Information and Event Management);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AU-7, AU-12, SI-4, SI-4(2)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§5.4 (Auditing and Accountability; where IDACS-connected sources feed the platform)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[System owner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reviewer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Configuration Record’s required change-history element. Add one row per configuration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the monitoring platform in use and the log sources it ingests. This record covers the central SIEM only: per-system session capture is in the Session Monitoring Configuration Records, and sensor configuration is in the IDS/IPS Configuration Records. Name each source system rather than restating its own configuration.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SIEM / Monitoring Tool Configuration Records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