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NTP Configuration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 Name]</w:t>
            </w:r>
            <w:r>
              <w:rPr>
                <w:rFonts w:ascii="Aptos" w:cs="Aptos" w:eastAsia="Aptos" w:hAnsi="Aptos"/>
                <w:sz w:val="24"/>
                <w:szCs w:val="24"/>
              </w:rPr>
              <w:t xml:space="preserve"> under the authority of </w:t>
            </w:r>
            <w:r>
              <w:rPr>
                <w:rFonts w:ascii="Aptos" w:cs="Aptos" w:eastAsia="Aptos" w:hAnsi="Aptos"/>
                <w:b/>
                <w:bCs/>
                <w:sz w:val="24"/>
                <w:szCs w:val="24"/>
              </w:rPr>
              <w:t xml:space="preserve">[signing official / 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    </w:t>
            </w:r>
            <w:r>
              <w:rPr>
                <w:rFonts w:ascii="Aptos" w:cs="Aptos" w:eastAsia="Aptos" w:hAnsi="Aptos"/>
                <w:b/>
                <w:bCs/>
                <w:sz w:val="24"/>
                <w:szCs w:val="24"/>
              </w:rPr>
              <w:t xml:space="preserve">Effective Date: </w:t>
            </w:r>
            <w:r>
              <w:rPr>
                <w:rFonts w:ascii="Aptos" w:cs="Aptos" w:eastAsia="Aptos" w:hAnsi="Aptos"/>
                <w:sz w:val="24"/>
                <w:szCs w:val="24"/>
              </w:rPr>
              <w:t xml:space="preserve">[Date]    </w:t>
            </w:r>
            <w:r>
              <w:rPr>
                <w:rFonts w:ascii="Aptos" w:cs="Aptos" w:eastAsia="Aptos" w:hAnsi="Aptos"/>
                <w:b/>
                <w:bCs/>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 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p>
            <w:pPr>
              <w:spacing w:after="60"/>
            </w:pPr>
            <w:r>
              <w:rPr>
                <w:rFonts w:ascii="Aptos" w:cs="Aptos" w:eastAsia="Aptos" w:hAnsi="Aptos"/>
                <w:i/>
                <w:iCs/>
                <w:color w:val="595959"/>
                <w:sz w:val="24"/>
                <w:szCs w:val="24"/>
              </w:rPr>
              <w:t xml:space="preserve">«Minimum for Configuration Record artifacts. Stays Restricted in nearly all cases; this record maps the Agency’s time-source topology, including SBCs and edge devices. Raise to Confidential only if a named custodian creates personal security risk.»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sz w:val="24"/>
          <w:szCs w:val="24"/>
        </w:rPr>
        <w:t xml:space="preserve">This record documents the Agency’s time synchronization as built: the authoritative time sources, the systems that synchronize to them, the authentication and acceptable drift, and failover. It supports the Logging Policy’s timestamp requirements and is the baseline the Time Synchronization Audit Records verify against. Scope includes servers, network devices, Session Border Controllers, and edge devices.</w:t>
      </w:r>
    </w:p>
    <w:p>
      <w:pPr>
        <w:pStyle w:val="Heading2"/>
        <w:spacing w:after="100" w:before="220"/>
      </w:pPr>
      <w:r>
        <w:rPr>
          <w:rFonts w:ascii="Aptos" w:cs="Aptos" w:eastAsia="Aptos" w:hAnsi="Aptos"/>
          <w:b/>
          <w:bCs/>
          <w:color w:val="1B3A5C"/>
          <w:sz w:val="26"/>
          <w:szCs w:val="26"/>
        </w:rPr>
        <w:t xml:space="preserve">2. Time Sources and Synchronized Systems</w:t>
      </w:r>
    </w:p>
    <w:p>
      <w:pPr>
        <w:spacing w:after="140"/>
      </w:pPr>
      <w:r>
        <w:rPr>
          <w:rFonts w:ascii="Aptos" w:cs="Aptos" w:eastAsia="Aptos" w:hAnsi="Aptos"/>
          <w:i/>
          <w:iCs/>
          <w:color w:val="595959"/>
          <w:sz w:val="24"/>
          <w:szCs w:val="24"/>
        </w:rPr>
        <w:t xml:space="preserve">«Two parts: the authoritative time sources, then the systems that synchronize to them. Include SBCs and edge devices. Tie system groups back to the Master Asset Inventory.»</w:t>
      </w:r>
    </w:p>
    <w:p>
      <w:pPr>
        <w:spacing w:after="140"/>
      </w:pPr>
      <w:r>
        <w:rPr>
          <w:rFonts w:ascii="Aptos" w:cs="Aptos" w:eastAsia="Aptos" w:hAnsi="Aptos"/>
          <w:b/>
          <w:bCs/>
          <w:sz w:val="24"/>
          <w:szCs w:val="24"/>
        </w:rPr>
        <w:t xml:space="preserve">Authoritative time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Source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Type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Stratum / reference</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Authentication</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 time source]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NTP / GPS / external 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 / GPS]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[symmetric key / NTS / none]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 source]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[GPS / secondary 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 / GPS]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w:t>
            </w:r>
          </w:p>
        </w:tc>
      </w:tr>
    </w:tbl>
    <w:p>
      <w:pPr>
        <w:spacing w:after="140"/>
      </w:pPr>
      <w:r>
        <w:rPr>
          <w:rFonts w:ascii="Aptos" w:cs="Aptos" w:eastAsia="Aptos" w:hAnsi="Aptos"/>
          <w:b/>
          <w:bCs/>
          <w:sz w:val="24"/>
          <w:szCs w:val="24"/>
        </w:rPr>
        <w:t xml:space="preserve">Synchronized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or group</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Syncs to</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Poll interval</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Acceptable drift</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[servers and CAD hosts]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 source]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[interval]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[e.g., under 1 second]</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devices and SBCs]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 source]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[interval]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[drift threshold]</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[edge devices]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[source]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[interval]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[drift threshold]</w:t>
            </w:r>
          </w:p>
        </w:tc>
      </w:tr>
    </w:tbl>
    <w:p>
      <w:pPr>
        <w:pStyle w:val="Heading2"/>
        <w:spacing w:after="100" w:before="220"/>
      </w:pPr>
      <w:r>
        <w:rPr>
          <w:rFonts w:ascii="Aptos" w:cs="Aptos" w:eastAsia="Aptos" w:hAnsi="Aptos"/>
          <w:b/>
          <w:bCs/>
          <w:color w:val="1B3A5C"/>
          <w:sz w:val="26"/>
          <w:szCs w:val="26"/>
        </w:rPr>
        <w:t xml:space="preserve">3. Current Configuration</w:t>
      </w:r>
    </w:p>
    <w:p>
      <w:pPr>
        <w:spacing w:after="140"/>
      </w:pPr>
      <w:r>
        <w:rPr>
          <w:rFonts w:ascii="Aptos" w:cs="Aptos" w:eastAsia="Aptos" w:hAnsi="Aptos"/>
          <w:i/>
          <w:iCs/>
          <w:color w:val="595959"/>
          <w:sz w:val="24"/>
          <w:szCs w:val="24"/>
        </w:rPr>
        <w:t xml:space="preserve">«The as-built state. Record settings as they are, not as they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NTP service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[service and version, on all synchronized hosts]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 behavior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[automatic to GPS or secondary; holdover period]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[notes]</w:t>
            </w:r>
          </w:p>
        </w:tc>
      </w:tr>
    </w:tbl>
    <w:p>
      <w:pPr>
        <w:pStyle w:val="Heading2"/>
        <w:spacing w:after="100" w:before="220"/>
      </w:pPr>
      <w:r>
        <w:rPr>
          <w:rFonts w:ascii="Aptos" w:cs="Aptos" w:eastAsia="Aptos" w:hAnsi="Aptos"/>
          <w:b/>
          <w:bCs/>
          <w:color w:val="1B3A5C"/>
          <w:sz w:val="26"/>
          <w:szCs w:val="26"/>
        </w:rPr>
        <w:t xml:space="preserve">4. Approved Settings and Deviation Log</w:t>
      </w:r>
    </w:p>
    <w:p>
      <w:pPr>
        <w:spacing w:after="140"/>
      </w:pPr>
      <w:r>
        <w:rPr>
          <w:rFonts w:ascii="Aptos" w:cs="Aptos" w:eastAsia="Aptos" w:hAnsi="Aptos"/>
          <w:i/>
          <w:iCs/>
          <w:color w:val="595959"/>
          <w:sz w:val="24"/>
          <w:szCs w:val="24"/>
        </w:rPr>
        <w:t xml:space="preserve">«The approved baseline value for each setting and any approved deviation,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Acceptable drift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[e.g., under 1 second for logging hosts]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symmetric key or NTS required on internal 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sz w:val="24"/>
          <w:szCs w:val="24"/>
        </w:rPr>
        <w:t xml:space="preserve">The as-built time synchronization is verified against this record at least [quarterly] by the [Owner role]; results are recorded in the Time Synchronization Audit Records.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or two time sources (the firewall or a GPS clock serving NTP), with the handful of servers and the SBC pointed at them. Record the source and the acceptable drift; check it during the periodic time audit.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 internal NTP source with authenticated sync and a GPS or external failover, documented per system group, with drift thresholds set for logging hosts and SBCs.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redundant GPS-backed NTP service with authenticated sync across all system groups, documented from the configuration management system and validated on a schedule.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b w:val="0"/>
                <w:bCs/>
                <w:i w:val="0"/>
                <w:iCs/>
                <w:sz w:val="24"/>
                <w:szCs w:val="24"/>
              </w:rPr>
              <w:t xml:space="preserve">NENA-STA-040.2-2024: §5.6, §5.6.1</w:t>
            </w:r>
          </w:p>
          <w:p>
            <w:pPr>
              <w:spacing w:after="40" w:before="0"/>
            </w:pPr>
            <w:r>
              <w:rPr>
                <w:rFonts w:ascii="Aptos" w:cs="Aptos" w:eastAsia="Aptos" w:hAnsi="Aptos"/>
                <w:b w:val="0"/>
                <w:bCs/>
                <w:i w:val="0"/>
                <w:iCs/>
                <w:sz w:val="24"/>
                <w:szCs w:val="24"/>
              </w:rPr>
              <w:t xml:space="preserve">NIST SP 800-53 Rev. 5: AU-8, SC-45, SC-45(1)</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reviewer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sz w:val="24"/>
                <w:szCs w:val="24"/>
              </w:rPr>
              <w:t xml:space="preserve">The as-built baseline the Time Synchronization Audit Records verify against; timestamp integrity supports the Logging Policy and the Log Integrity Verification Procedures. Point to them; do not restate.</w:t>
            </w:r>
          </w:p>
          <w:p>
            <w:pPr>
              <w:spacing w:after="140"/>
            </w:pPr>
            <w:r>
              <w:rPr>
                <w:rFonts w:ascii="Aptos" w:cs="Aptos" w:eastAsia="Aptos" w:hAnsi="Aptos"/>
                <w:i/>
                <w:iCs/>
                <w:sz w:val="24"/>
                <w:szCs w:val="24"/>
              </w:rPr>
              <w:t xml:space="preserve">Agency-supplied values in brackets: [Agency Name], time sources and stratum, authentication method, drift thresholds, poll intervals, and the synchronized system groups.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NTP Configuration Documentation - FORM</dc:title>
</cp:coreProperties>
</file>

<file path=docProps/custom.xml><?xml version="1.0" encoding="utf-8"?>
<Properties xmlns="http://schemas.openxmlformats.org/officeDocument/2006/custom-properties" xmlns:vt="http://schemas.openxmlformats.org/officeDocument/2006/docPropsVTypes"/>
</file>