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TDoS / DoS Response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b/>
                <w:bCs/>
                <w:i w:val="false"/>
                <w:iCs w:val="false"/>
                <w:sz w:val="24"/>
                <w:szCs w:val="24"/>
              </w:rPr>
              <w:t xml:space="preserve">[Agency Name]</w:t>
            </w:r>
            <w:r>
              <w:rPr>
                <w:rFonts w:ascii="Aptos" w:cs="Aptos" w:eastAsia="Aptos" w:hAnsi="Aptos"/>
                <w:b w:val="false"/>
                <w:bCs w:val="false"/>
                <w:i w:val="false"/>
                <w:iCs w:val="false"/>
                <w:sz w:val="24"/>
                <w:szCs w:val="24"/>
              </w:rPr>
              <w:t xml:space="preserve"> under the authority of </w:t>
            </w:r>
            <w:r>
              <w:rPr>
                <w:rFonts w:ascii="Aptos" w:cs="Aptos" w:eastAsia="Aptos" w:hAnsi="Aptos"/>
                <w:b/>
                <w:bCs/>
                <w:i w:val="false"/>
                <w:iCs w:val="false"/>
                <w:sz w:val="24"/>
                <w:szCs w:val="24"/>
              </w:rPr>
              <w:t xml:space="preserve">[signing official / title]</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[Date]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[Date]</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[Role title]   </w:t>
            </w:r>
            <w:r>
              <w:rPr>
                <w:rFonts w:ascii="Aptos" w:cs="Aptos" w:eastAsia="Aptos" w:hAnsi="Aptos"/>
                <w:b w:val="false"/>
                <w:bCs w:val="false"/>
                <w:i/>
                <w:iCs/>
                <w:color w:val="595959"/>
                <w:sz w:val="24"/>
                <w:szCs w:val="24"/>
              </w:rPr>
              <w:t xml:space="preserve">«use a role, not a person’s name.»</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Restricted</w:t>
            </w:r>
          </w:p>
          <w:p>
            <w:pPr>
              <w:spacing w:after="0"/>
            </w:pPr>
            <w:r>
              <w:rPr>
                <w:rFonts w:ascii="Aptos" w:cs="Aptos" w:eastAsia="Aptos" w:hAnsi="Aptos"/>
                <w:i/>
                <w:iCs/>
                <w:color w:val="595959"/>
                <w:sz w:val="24"/>
                <w:szCs w:val="24"/>
              </w:rPr>
              <w:t xml:space="preserve">«Minimum for Procedure artifacts. Raise to Restricted when the procedure encodes defensive logic, isolation steps, or evidence handling.»</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How to use this template </w:t>
            </w:r>
            <w:r>
              <w:rPr>
                <w:rFonts w:ascii="Aptos" w:cs="Aptos" w:eastAsia="Aptos" w:hAnsi="Aptos"/>
                <w:b w:val="false"/>
                <w:bCs w:val="false"/>
                <w:i/>
                <w:iCs/>
                <w:color w:val="595959"/>
                <w:sz w:val="24"/>
                <w:szCs w:val="24"/>
              </w:rPr>
              <w:t xml:space="preserve">(delete this box before publishing)</w:t>
            </w:r>
          </w:p>
          <w:p>
            <w:pPr>
              <w:spacing w:after="140"/>
            </w:pPr>
            <w:r>
              <w:rPr>
                <w:rFonts w:ascii="Aptos" w:cs="Aptos" w:eastAsia="Aptos" w:hAnsi="Aptos"/>
                <w:i/>
                <w:iCs/>
                <w:color w:val="595959"/>
                <w:sz w:val="24"/>
                <w:szCs w:val="24"/>
              </w:rPr>
              <w:t>This template is ready to adopt. Replace every [BRACKETED] field with your agency’s information, write the content described in each « » note, then delete all « » notes before publishing.</w:t>
            </w:r>
          </w:p>
          <w:p>
            <w:pPr>
              <w:spacing w:after="0"/>
            </w:pPr>
            <w:r>
              <w:rPr>
                <w:rFonts w:ascii="Aptos" w:cs="Aptos" w:eastAsia="Aptos" w:hAnsi="Aptos"/>
                <w:b/>
                <w:bCs/>
                <w:i w:val="false"/>
                <w:iCs w:val="false"/>
                <w:sz w:val="24"/>
                <w:szCs w:val="24"/>
              </w:rPr>
              <w:t xml:space="preserve">Placeholder key: </w:t>
            </w:r>
            <w:r>
              <w:rPr>
                <w:rFonts w:ascii="Aptos" w:cs="Aptos" w:eastAsia="Aptos" w:hAnsi="Aptos"/>
                <w:b w:val="false"/>
                <w:bCs w:val="false"/>
                <w:i w:val="false"/>
                <w:iCs w:val="false"/>
                <w:sz w:val="24"/>
                <w:szCs w:val="24"/>
              </w:rPr>
              <w:t xml:space="preserve">[BRACKETED]</w:t>
            </w:r>
            <w:r>
              <w:rPr>
                <w:rFonts w:ascii="Aptos" w:cs="Aptos" w:eastAsia="Aptos" w:hAnsi="Aptos"/>
                <w:b w:val="false"/>
                <w:bCs w:val="false"/>
                <w:i w:val="false"/>
                <w:iCs w:val="false"/>
                <w:sz w:val="24"/>
                <w:szCs w:val="24"/>
              </w:rPr>
              <w:t xml:space="preserve"> = fill in   ·   </w:t>
            </w:r>
            <w:r>
              <w:rPr>
                <w:rFonts w:ascii="Aptos" w:cs="Aptos" w:eastAsia="Aptos" w:hAnsi="Aptos"/>
                <w:b/>
                <w:bCs/>
                <w:i w:val="false"/>
                <w:iCs w:val="false"/>
                <w:sz w:val="24"/>
                <w:szCs w:val="24"/>
              </w:rPr>
              <w:t xml:space="preserve">[REQUIRED]</w:t>
            </w:r>
            <w:r>
              <w:rPr>
                <w:rFonts w:ascii="Aptos" w:cs="Aptos" w:eastAsia="Aptos" w:hAnsi="Aptos"/>
                <w:b w:val="false"/>
                <w:bCs w:val="false"/>
                <w:i w:val="false"/>
                <w:iCs w:val="false"/>
                <w:sz w:val="24"/>
                <w:szCs w:val="24"/>
              </w:rPr>
              <w:t xml:space="preserve"> (bold) = required field   ·   </w:t>
            </w:r>
            <w:r>
              <w:rPr>
                <w:rFonts w:ascii="Aptos" w:cs="Aptos" w:eastAsia="Aptos" w:hAnsi="Aptos"/>
                <w:b w:val="false"/>
                <w:bCs w:val="false"/>
                <w:i/>
                <w:iCs/>
                <w:color w:val="595959"/>
                <w:sz w:val="24"/>
                <w:szCs w:val="24"/>
              </w:rPr>
              <w:t xml:space="preserve">« »</w:t>
            </w:r>
            <w:r>
              <w:rPr>
                <w:rFonts w:ascii="Aptos" w:cs="Aptos" w:eastAsia="Aptos" w:hAnsi="Aptos"/>
                <w:b w:val="false"/>
                <w:bCs w:val="false"/>
                <w:i w:val="false"/>
                <w:iCs w:val="false"/>
                <w:sz w:val="24"/>
                <w:szCs w:val="24"/>
              </w:rPr>
              <w:t xml:space="preserve"> = guidance to delete.</w:t>
            </w:r>
          </w:p>
          <w:p>
            <w:pPr>
              <w:spacing w:after="140"/>
            </w:pPr>
            <w:r>
              <w:rPr>
                <w:rFonts w:ascii="Aptos" w:cs="Aptos" w:eastAsia="Aptos" w:hAnsi="Aptos"/>
                <w:i/>
                <w:iCs/>
                <w:color w:val="595959"/>
                <w:sz w:val="24"/>
                <w:szCs w:val="24"/>
              </w:rPr>
              <w:t xml:space="preserve">Keep the body director-readable. Push technical detail and contact lists to an appendix. Source Authority, approval signatures, and revision history stay at the foot of the document.</w:t>
            </w:r>
          </w:p>
        </w:tc>
      </w:tr>
    </w:tbl>
    <w:p>
      <w:pPr>
        <w:pStyle w:val="Heading2"/>
        <w:spacing w:after="100" w:before="220"/>
      </w:pPr>
      <w:r>
        <w:rPr>
          <w:rFonts w:ascii="Aptos" w:cs="Aptos" w:eastAsia="Aptos" w:hAnsi="Aptos"/>
          <w:b/>
          <w:bCs/>
          <w:color w:val="1B3A5C"/>
          <w:sz w:val="26"/>
          <w:szCs w:val="26"/>
        </w:rPr>
        <w:t xml:space="preserve">1. Purpose</w:t>
      </w:r>
    </w:p>
    <w:p>
      <w:pPr>
        <w:spacing w:after="140"/>
      </w:pPr>
      <w:r>
        <w:rPr>
          <w:rFonts w:ascii="Aptos" w:cs="Aptos" w:eastAsia="Aptos" w:hAnsi="Aptos"/>
          <w:i/>
          <w:iCs/>
          <w:color w:val="595959"/>
          <w:sz w:val="24"/>
          <w:szCs w:val="24"/>
        </w:rPr>
        <w:t xml:space="preserve">«What this procedure accomplishes and when it is performed. One or two sentences.»</w:t>
      </w:r>
    </w:p>
    <w:p>
      <w:pPr>
        <w:spacing w:after="120" w:before="0"/>
      </w:pPr>
      <w:r>
        <w:rPr>
          <w:rFonts w:ascii="Aptos" w:cs="Aptos" w:eastAsia="Aptos" w:hAnsi="Aptos"/>
          <w:b w:val="false"/>
          <w:bCs w:val="false"/>
          <w:i w:val="false"/>
          <w:iCs w:val="false"/>
          <w:sz w:val="24"/>
          <w:szCs w:val="24"/>
        </w:rPr>
        <w:t xml:space="preserve">This procedure defines how the Agency detects a telephony or network denial-of-service attack, keeps 9-1-1 answerable while it is under way, and returns to normal service once it clears. It applies whether the flood targets the phone path (TDoS) or the data network (DoS).</w:t>
      </w:r>
    </w:p>
    <w:p>
      <w:pPr>
        <w:pStyle w:val="Heading2"/>
        <w:spacing w:after="100" w:before="220"/>
      </w:pPr>
      <w:r>
        <w:rPr>
          <w:rFonts w:ascii="Aptos" w:cs="Aptos" w:eastAsia="Aptos" w:hAnsi="Aptos"/>
          <w:b/>
          <w:bCs/>
          <w:color w:val="1B3A5C"/>
          <w:sz w:val="26"/>
          <w:szCs w:val="26"/>
        </w:rPr>
        <w:t xml:space="preserve">2. Scope</w:t>
      </w:r>
    </w:p>
    <w:p>
      <w:pPr>
        <w:spacing w:after="140"/>
      </w:pPr>
      <w:r>
        <w:rPr>
          <w:rFonts w:ascii="Aptos" w:cs="Aptos" w:eastAsia="Aptos" w:hAnsi="Aptos"/>
          <w:i/>
          <w:iCs/>
          <w:color w:val="595959"/>
          <w:sz w:val="24"/>
          <w:szCs w:val="24"/>
        </w:rPr>
        <w:t xml:space="preserve">«What the procedure covers and excludes; which systems or roles it applies to.»</w:t>
      </w:r>
    </w:p>
    <w:p>
      <w:pPr>
        <w:pStyle w:val="ListParagraph"/>
        <w:numPr>
          <w:ilvl w:val="0"/>
          <w:numId w:val="2"/>
        </w:numPr>
        <w:spacing w:after="60"/>
      </w:pPr>
      <w:r>
        <w:rPr>
          <w:rFonts w:ascii="Aptos" w:cs="Aptos" w:eastAsia="Aptos" w:hAnsi="Aptos"/>
          <w:b w:val="false"/>
          <w:bCs w:val="false"/>
          <w:i w:val="false"/>
          <w:iCs w:val="false"/>
          <w:sz w:val="24"/>
          <w:szCs w:val="24"/>
        </w:rPr>
        <w:t xml:space="preserve">Applies to: personnel who detect and respond to call flooding and network denial-of-service: dispatch supervisors, the security coordinator, and IT support.</w:t>
      </w:r>
    </w:p>
    <w:p>
      <w:pPr>
        <w:pStyle w:val="ListParagraph"/>
        <w:numPr>
          <w:ilvl w:val="0"/>
          <w:numId w:val="2"/>
        </w:numPr>
        <w:spacing w:after="60"/>
      </w:pPr>
      <w:r>
        <w:rPr>
          <w:rFonts w:ascii="Aptos" w:cs="Aptos" w:eastAsia="Aptos" w:hAnsi="Aptos"/>
          <w:b w:val="false"/>
          <w:bCs w:val="false"/>
          <w:i w:val="false"/>
          <w:iCs w:val="false"/>
          <w:sz w:val="24"/>
          <w:szCs w:val="24"/>
        </w:rPr>
        <w:t xml:space="preserve">Covers: detection, upstream carrier and ESInet coordination, call filtering, network rate limiting, failover to backup call-handling, and recovery, for both telephony (TDoS) and network (DoS) denial-of-service.</w:t>
      </w:r>
    </w:p>
    <w:p>
      <w:pPr>
        <w:pStyle w:val="ListParagraph"/>
        <w:numPr>
          <w:ilvl w:val="0"/>
          <w:numId w:val="2"/>
        </w:numPr>
        <w:spacing w:after="60"/>
      </w:pPr>
      <w:r>
        <w:rPr>
          <w:rFonts w:ascii="Aptos" w:cs="Aptos" w:eastAsia="Aptos" w:hAnsi="Aptos"/>
          <w:b w:val="false"/>
          <w:bCs w:val="false"/>
          <w:i w:val="false"/>
          <w:iCs w:val="false"/>
          <w:sz w:val="24"/>
          <w:szCs w:val="24"/>
        </w:rPr>
        <w:t xml:space="preserve">Excludes: single-system outages with no attack indicator, which follow the Incident Response Plan; and routine call spikes handled under normal staffing.</w:t>
      </w:r>
    </w:p>
    <w:p>
      <w:pPr>
        <w:pStyle w:val="Heading2"/>
        <w:spacing w:after="100" w:before="220"/>
      </w:pPr>
      <w:r>
        <w:rPr>
          <w:rFonts w:ascii="Aptos" w:cs="Aptos" w:eastAsia="Aptos" w:hAnsi="Aptos"/>
          <w:b/>
          <w:bCs/>
          <w:color w:val="1B3A5C"/>
          <w:sz w:val="26"/>
          <w:szCs w:val="26"/>
        </w:rPr>
        <w:t xml:space="preserve">3. Prerequisites</w:t>
      </w:r>
    </w:p>
    <w:p>
      <w:pPr>
        <w:spacing w:after="140"/>
      </w:pPr>
      <w:r>
        <w:rPr>
          <w:rFonts w:ascii="Aptos" w:cs="Aptos" w:eastAsia="Aptos" w:hAnsi="Aptos"/>
          <w:i/>
          <w:iCs/>
          <w:color w:val="595959"/>
          <w:sz w:val="24"/>
          <w:szCs w:val="24"/>
        </w:rPr>
        <w:t xml:space="preserve">«What must be true or in hand before starting: access, tools, approvals, prior steps.»</w:t>
      </w:r>
    </w:p>
    <w:p>
      <w:pPr>
        <w:pStyle w:val="ListParagraph"/>
        <w:numPr>
          <w:ilvl w:val="0"/>
          <w:numId w:val="3"/>
        </w:numPr>
        <w:spacing w:after="60"/>
      </w:pPr>
      <w:r>
        <w:rPr>
          <w:rFonts w:ascii="Aptos" w:cs="Aptos" w:eastAsia="Aptos" w:hAnsi="Aptos"/>
          <w:b w:val="false"/>
          <w:bCs w:val="false"/>
          <w:i w:val="false"/>
          <w:iCs w:val="false"/>
          <w:sz w:val="24"/>
          <w:szCs w:val="24"/>
        </w:rPr>
        <w:t xml:space="preserve">Current upstream contacts for the 9-1-1 / ESInet service provider and the telephone carrier, held in the Incident Notification &amp; Escalation Contact List.</w:t>
      </w:r>
    </w:p>
    <w:p>
      <w:pPr>
        <w:pStyle w:val="ListParagraph"/>
        <w:numPr>
          <w:ilvl w:val="0"/>
          <w:numId w:val="3"/>
        </w:numPr>
        <w:spacing w:after="60"/>
      </w:pPr>
      <w:r>
        <w:rPr>
          <w:rFonts w:ascii="Aptos" w:cs="Aptos" w:eastAsia="Aptos" w:hAnsi="Aptos"/>
          <w:b w:val="false"/>
          <w:bCs w:val="false"/>
          <w:i w:val="false"/>
          <w:iCs w:val="false"/>
          <w:sz w:val="24"/>
          <w:szCs w:val="24"/>
        </w:rPr>
        <w:t xml:space="preserve">Detection signals available: session border controller or call-handling alarms, ANI/ALI anomaly indicators, and network traffic monitoring.</w:t>
      </w:r>
    </w:p>
    <w:p>
      <w:pPr>
        <w:pStyle w:val="ListParagraph"/>
        <w:numPr>
          <w:ilvl w:val="0"/>
          <w:numId w:val="3"/>
        </w:numPr>
        <w:spacing w:after="60"/>
      </w:pPr>
      <w:r>
        <w:rPr>
          <w:rFonts w:ascii="Aptos" w:cs="Aptos" w:eastAsia="Aptos" w:hAnsi="Aptos"/>
          <w:b w:val="false"/>
          <w:bCs w:val="false"/>
          <w:i w:val="false"/>
          <w:iCs w:val="false"/>
          <w:sz w:val="24"/>
          <w:szCs w:val="24"/>
        </w:rPr>
        <w:t xml:space="preserve">The Backup Call-Handling / Dispatch Continuity Procedure is current and staff know how to invoke it.</w:t>
      </w:r>
    </w:p>
    <w:p>
      <w:pPr>
        <w:pStyle w:val="Heading2"/>
        <w:spacing w:after="100" w:before="220"/>
      </w:pPr>
      <w:r>
        <w:rPr>
          <w:rFonts w:ascii="Aptos" w:cs="Aptos" w:eastAsia="Aptos" w:hAnsi="Aptos"/>
          <w:b/>
          <w:bCs/>
          <w:color w:val="1B3A5C"/>
          <w:sz w:val="26"/>
          <w:szCs w:val="26"/>
        </w:rPr>
        <w:t xml:space="preserve">4. Procedure Steps</w:t>
      </w:r>
    </w:p>
    <w:p>
      <w:pPr>
        <w:spacing w:after="140"/>
      </w:pPr>
      <w:r>
        <w:rPr>
          <w:rFonts w:ascii="Aptos" w:cs="Aptos" w:eastAsia="Aptos" w:hAnsi="Aptos"/>
          <w:i/>
          <w:iCs/>
          <w:color w:val="595959"/>
          <w:sz w:val="24"/>
          <w:szCs w:val="24"/>
        </w:rPr>
        <w:t xml:space="preserve">«Steps in execution order. One action per step. Name the responsible role per step. Plain English.»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cantSplit/>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Detect: recognize a denial-of-service pattern, such as a flood of repeated or spoofed calls, dead-air calls, or abnormal traffic against call-handling systems.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[Dispatch supervisor / Monitoring 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Classify and declare: assign a severity using the Incident Classification &amp; Severity Matrix and declare a TDoS/DoS event so response begins.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Contain (network): apply rate limiting, block offending sources, and tighten firewall rules for a network DoS, without dropping legitimate traffic.</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4</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Coordinate (telephony): contact the carrier and the 9-1-1 / ESInet provider to filter or reroute the offending call source upstream of the PSAP.</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 / IT support]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5</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Maintain continuity: if call-taking is degraded, invoke the Backup Call-Handling / Dispatch Continuity Procedure so 9-1-1 calls keep being answered.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[Dispatch supervisor]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6</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Escalate and report: notify the roles named for the severity tier in the Incident Notification &amp; Escalation Contact List, and report to the Indiana Office of Technology within two business days if it is a cybersecurity incident.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7</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Recover and record: confirm normal call flow and traffic, stand down upstream filtering, and record the event in the Incident Log / Register for after-action review.</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 / IT support]</w:t>
            </w:r>
          </w:p>
        </w:tc>
      </w:tr>
    </w:tbl>
    <w:p>
      <w:pPr>
        <w:pStyle w:val="Heading2"/>
        <w:spacing w:after="100" w:before="220"/>
      </w:pPr>
      <w:r>
        <w:rPr>
          <w:rFonts w:ascii="Aptos" w:cs="Aptos" w:eastAsia="Aptos" w:hAnsi="Aptos"/>
          <w:b/>
          <w:bCs/>
          <w:color w:val="1B3A5C"/>
          <w:sz w:val="26"/>
          <w:szCs w:val="26"/>
        </w:rPr>
        <w:t xml:space="preserve">5. Verification Criteria</w:t>
      </w:r>
    </w:p>
    <w:p>
      <w:pPr>
        <w:spacing w:after="140"/>
      </w:pPr>
      <w:r>
        <w:rPr>
          <w:rFonts w:ascii="Aptos" w:cs="Aptos" w:eastAsia="Aptos" w:hAnsi="Aptos"/>
          <w:i/>
          <w:iCs/>
          <w:color w:val="595959"/>
          <w:sz w:val="24"/>
          <w:szCs w:val="24"/>
        </w:rPr>
        <w:t xml:space="preserve">«How the operator confirms the procedure worked. State the observable result, not the action.»</w:t>
      </w:r>
    </w:p>
    <w:p>
      <w:pPr>
        <w:spacing w:after="120" w:before="0"/>
      </w:pPr>
      <w:r>
        <w:rPr>
          <w:rFonts w:ascii="Aptos" w:cs="Aptos" w:eastAsia="Aptos" w:hAnsi="Aptos"/>
          <w:b w:val="false"/>
          <w:bCs w:val="false"/>
          <w:i w:val="false"/>
          <w:iCs w:val="false"/>
          <w:sz w:val="24"/>
          <w:szCs w:val="24"/>
        </w:rPr>
        <w:t xml:space="preserve">9-1-1 calls continued to be answered throughout the event, the offending source was filtered or blocked, call flow and network traffic returned to normal, and the event is recorded in the Incident Log / Register with any follow-up opened as a finding.</w:t>
      </w:r>
    </w:p>
    <w:p>
      <w:pPr>
        <w:pStyle w:val="Heading2"/>
        <w:spacing w:after="100" w:before="220"/>
      </w:pPr>
      <w:r>
        <w:rPr>
          <w:rFonts w:ascii="Aptos" w:cs="Aptos" w:eastAsia="Aptos" w:hAnsi="Aptos"/>
          <w:b/>
          <w:bCs/>
          <w:color w:val="1B3A5C"/>
          <w:sz w:val="26"/>
          <w:szCs w:val="26"/>
        </w:rPr>
        <w:t xml:space="preserve">6. Testing and Validation</w:t>
      </w:r>
    </w:p>
    <w:p>
      <w:pPr>
        <w:spacing w:after="140"/>
      </w:pPr>
      <w:r>
        <w:rPr>
          <w:rFonts w:ascii="Aptos" w:cs="Aptos" w:eastAsia="Aptos" w:hAnsi="Aptos"/>
          <w:i/>
          <w:iCs/>
          <w:color w:val="595959"/>
          <w:sz w:val="24"/>
          <w:szCs w:val="24"/>
        </w:rPr>
        <w:t xml:space="preserve">«State the testing cadence and where results are recorded. The cadence and ownership are set in the Network Monitoring Policy; keep this to a line.»</w:t>
      </w:r>
    </w:p>
    <w:p>
      <w:pPr>
        <w:spacing w:after="120" w:before="0"/>
      </w:pPr>
      <w:r>
        <w:rPr>
          <w:rFonts w:ascii="Aptos" w:cs="Aptos" w:eastAsia="Aptos" w:hAnsi="Aptos"/>
          <w:b w:val="false"/>
          <w:bCs w:val="false"/>
          <w:i w:val="false"/>
          <w:iCs w:val="false"/>
          <w:sz w:val="24"/>
          <w:szCs w:val="24"/>
        </w:rPr>
        <w:t xml:space="preserve">The Agency exercises this procedure and the denial-of-service defenses it relies on at the interval and with the responsibilities set in the Network Monitoring Policy, confirming that rate-limiting and traffic-shaping thresholds trigger, that alerts reach the responsible role, and that failover to backup call-handling works, with results recorded and any gap opened as a finding.</w:t>
      </w:r>
    </w:p>
    <w:p>
      <w:pPr>
        <w:pStyle w:val="Heading2"/>
        <w:spacing w:after="100" w:before="220"/>
      </w:pPr>
      <w:r>
        <w:rPr>
          <w:rFonts w:ascii="Aptos" w:cs="Aptos" w:eastAsia="Aptos" w:hAnsi="Aptos"/>
          <w:b/>
          <w:bCs/>
          <w:color w:val="1B3A5C"/>
          <w:sz w:val="26"/>
          <w:szCs w:val="26"/>
        </w:rPr>
        <w:t xml:space="preserve">7. Related Documents</w:t>
      </w:r>
    </w:p>
    <w:p>
      <w:pPr>
        <w:spacing w:after="140"/>
      </w:pPr>
      <w:r>
        <w:rPr>
          <w:rFonts w:ascii="Aptos" w:cs="Aptos" w:eastAsia="Aptos" w:hAnsi="Aptos"/>
          <w:i/>
          <w:iCs/>
          <w:color w:val="595959"/>
          <w:sz w:val="24"/>
          <w:szCs w:val="24"/>
        </w:rPr>
        <w:t xml:space="preserve">«Reference dependent artifacts by their Tracker name. Point, do not restate.»</w:t>
      </w:r>
    </w:p>
    <w:p>
      <w:pPr>
        <w:spacing w:after="120" w:before="0"/>
      </w:pPr>
      <w:r>
        <w:rPr>
          <w:rFonts w:ascii="Aptos" w:cs="Aptos" w:eastAsia="Aptos" w:hAnsi="Aptos"/>
          <w:b w:val="false"/>
          <w:bCs w:val="false"/>
          <w:i w:val="false"/>
          <w:iCs w:val="false"/>
          <w:sz w:val="24"/>
          <w:szCs w:val="24"/>
        </w:rPr>
        <w:t xml:space="preserve">Incident Response Plan; Backup Call-Handling / Dispatch Continuity Procedure; Incident Classification &amp; Severity Matrix; Incident Notification &amp; Escalation Contact List; Network Monitoring Policy; Incident Log / Register.</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No traffic tooling. The director or on-duty dispatcher recognizes a call flood, calls the carrier and the 9-1-1 / ESInet provider to filter upstream, and falls back to the backup call-handling method. Keep the carrier and provider 24-hour numbers posted at the console.</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Shared IT applies rate limiting and firewall blocks and coordinates with the carrier while a coordinator manages continuity; the severity tiers decide who is notified and when.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 security analyst detects denial-of-service patterns from traffic monitoring in near real time, IT applies automated rate limiting and upstream scrubbing through the provider, and failover across sites keeps call-taking running.</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140"/>
            </w:pPr>
            <w:r>
              <w:rPr>
                <w:rFonts w:ascii="Aptos" w:cs="Aptos" w:eastAsia="Aptos" w:hAnsi="Aptos"/>
                <w:i/>
                <w:iCs/>
                <w:color w:val="595959"/>
                <w:sz w:val="24"/>
                <w:szCs w:val="24"/>
              </w:rPr>
              <w:t xml:space="preserve">List only the authorities that map to content in this artifact. Group by authority; order sections and control IDs numerically. No padding. Replace the lines below with the citations that actually apply.</w:t>
            </w:r>
          </w:p>
          <w:p>
            <w:pPr>
              <w:spacing w:after="40" w:before="0"/>
            </w:pPr>
            <w:r>
              <w:rPr>
                <w:rFonts w:ascii="Aptos" w:cs="Aptos" w:eastAsia="Aptos" w:hAnsi="Aptos"/>
                <w:bCs w:val="false"/>
                <w:iCs w:val="false"/>
                <w:sz w:val="24"/>
                <w:szCs w:val="24"/>
              </w:rPr>
              <w:t xml:space="preserve">NENA-STA-040.2-2024: §5.3 (Availability), §5.6.4 (Intrusion Monitoring), §5.6.5 (Incident Response)</w:t>
            </w:r>
          </w:p>
          <w:p>
            <w:pPr>
              <w:spacing w:after="40" w:before="0"/>
            </w:pPr>
            <w:r>
              <w:rPr>
                <w:rFonts w:ascii="Aptos" w:cs="Aptos" w:eastAsia="Aptos" w:hAnsi="Aptos"/>
                <w:bCs w:val="false"/>
                <w:iCs w:val="false"/>
                <w:sz w:val="24"/>
                <w:szCs w:val="24"/>
              </w:rPr>
              <w:t xml:space="preserve">NIST SP 800-53 Rev. 5: IR-4, IR-6, SC-5, SC-7</w:t>
            </w:r>
          </w:p>
          <w:p>
            <w:pPr>
              <w:spacing w:after="40" w:before="0"/>
            </w:pPr>
            <w:r>
              <w:rPr>
                <w:rFonts w:ascii="Aptos" w:cs="Aptos" w:eastAsia="Aptos" w:hAnsi="Aptos"/>
                <w:bCs w:val="false"/>
                <w:iCs w:val="false"/>
                <w:sz w:val="24"/>
                <w:szCs w:val="24"/>
              </w:rPr>
              <w:t xml:space="preserve">Indiana statutes and administrative code: HEA 1169 (2021), cyber incident reporting to the Indiana Office of Technology</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[Approving official / title]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 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[Date]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Drafter’s note </w:t>
            </w:r>
            <w:r>
              <w:rPr>
                <w:rFonts w:ascii="Aptos" w:cs="Aptos" w:eastAsia="Aptos" w:hAnsi="Aptos"/>
                <w:b w:val="false"/>
                <w:bCs w:val="false"/>
                <w:i/>
                <w:iCs/>
                <w:color w:val="595959"/>
                <w:sz w:val="24"/>
                <w:szCs w:val="24"/>
              </w:rPr>
              <w:t xml:space="preserve">(internal, delete before publishing)</w:t>
            </w:r>
          </w:p>
          <w:p>
            <w:pPr>
              <w:spacing w:after="140"/>
            </w:pPr>
            <w:r>
              <w:rPr>
                <w:rFonts w:ascii="Aptos" w:cs="Aptos" w:eastAsia="Aptos" w:hAnsi="Aptos"/>
                <w:i/>
                <w:iCs/>
                <w:color w:val="595959"/>
                <w:sz w:val="24"/>
                <w:szCs w:val="24"/>
              </w:rPr>
              <w:t xml:space="preserve">Confirm the upstream carrier and 9-1-1 / ESInet provider contacts are captured in the Incident Notification &amp; Escalation Contact List, and that the severity tiers align to the Incident Classification &amp; Severity Matrix. Confirm the Agency's threshold for treating a network denial-of-service on a public-safety system as a reportable cyber incident to the Indiana Office of Technology.</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11"/>
    <w:lvlOverride w:ilvl="0">
      <w:startOverride w:val="1"/>
    </w:lvlOverride>
  </w:num>
  <w:num w:numId="3">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2026-06-01T15:29:11.455Z</dcterms:created>
  <dcterms:modified xsi:type="dcterms:W3CDTF">2026-06-01T15:29:11.455Z</dcterms:modified>
  <dc:title xmlns:dc="http://purl.org/dc/elements/1.1/">TDoS / DoS Response Procedure - FORM</dc:title>
</cp:coreProperties>
</file>

<file path=docProps/custom.xml><?xml version="1.0" encoding="utf-8"?>
<Properties xmlns="http://schemas.openxmlformats.org/officeDocument/2006/custom-properties" xmlns:vt="http://schemas.openxmlformats.org/officeDocument/2006/docPropsVTypes"/>
</file>