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{agencyName}, {directorName}</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{itSupport}, {roleTitle}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«Minimum for this Agreement. Raise to Confidential for signed copies that carry named-party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agreement records the cybersecurity obligations between the Agency and whoever provides its IT support. Replace every [BRACKETED] field, set real targets in the Service Levels table, follow the « » guidance, and delete every « » note and this box before signing.</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This is the enforcement mechanism behind the Agency's governance. Keep it consistent with the RACI Matrix for Cybersecurity, which assigns who is accountable for each duty named here.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agreement establishes and why the parties enter it. One or two sentences.»</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40"/>
      </w:pPr>
      <w:r>
        <w:rPr>
          <w:rFonts w:ascii="Aptos" w:cs="Aptos" w:eastAsia="Aptos" w:hAnsi="Aptos"/>
          <w:i/>
          <w:iCs/>
          <w:color w:val="595959"/>
          <w:sz w:val="24"/>
          <w:szCs w:val="24"/>
        </w:rPr>
        <w:t>«Define only the terms this agreement measures against. These set the thresholds the parties are held to.»</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spacing w:after="140"/>
      </w:pPr>
      <w:r>
        <w:rPr>
          <w:rFonts w:ascii="Aptos" w:cs="Aptos" w:eastAsia="Aptos" w:hAnsi="Aptos"/>
          <w:i/>
          <w:iCs/>
          <w:color w:val="595959"/>
          <w:sz w:val="24"/>
          <w:szCs w:val="24"/>
        </w:rPr>
        <w:t xml:space="preserve">«The binding obligations, as numbered terms. State which party owns each. Be specific about timing and thresholds.»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{timeframe}.</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{timeframe2},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p>
      <w:pPr>
        <w:spacing w:after="140"/>
      </w:pPr>
      <w:r>
        <w:rPr>
          <w:rFonts w:ascii="Aptos" w:cs="Aptos" w:eastAsia="Aptos" w:hAnsi="Aptos"/>
          <w:i/>
          <w:iCs/>
          <w:color w:val="595959"/>
          <w:sz w:val="24"/>
          <w:szCs w:val="24"/>
        </w:rPr>
        <w:t>«The measurable targets the provider is held to. Set real numbers; an unmeasured service level is unenforceable.»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escalation to provider management]</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{howMeasured3}</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{remedy2}</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{howMeasured4}</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{remedy3}</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{howMeasured5}</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{remedy4}</w:t>
            </w:r>
          </w:p>
        </w:tc>
      </w:tr>
    </w:tbl>
    <w:p>
      <w:pPr>
        <w:pStyle w:val="Heading2"/>
        <w:spacing w:after="100" w:before="220"/>
      </w:pPr>
      <w:r>
        <w:rPr>
          <w:rFonts w:ascii="Aptos" w:cs="Aptos" w:eastAsia="Aptos" w:hAnsi="Aptos"/>
          <w:b/>
          <w:bCs/>
          <w:color w:val="1B3A5C"/>
          <w:sz w:val="26"/>
          <w:szCs w:val="26"/>
        </w:rPr>
        <w:t>5. Points of Contact</w:t>
      </w:r>
    </w:p>
    <w:p>
      <w:pPr>
        <w:spacing w:after="140"/>
      </w:pPr>
      <w:r>
        <w:rPr>
          <w:rFonts w:ascii="Aptos" w:cs="Aptos" w:eastAsia="Aptos" w:hAnsi="Aptos"/>
          <w:i/>
          <w:iCs/>
          <w:color w:val="595959"/>
          <w:sz w:val="24"/>
          <w:szCs w:val="24"/>
        </w:rPr>
        <w:t>«Operational escalation contacts by role, separate from the signatures below. Naming individuals raises a signed copy to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{reviewerRole}</w:t>
            </w:r>
          </w:p>
        </w:tc>
      </w:tr>
    </w:tbl>
    <w:p>
      <w:pPr>
        <w:pStyle w:val="Heading2"/>
        <w:spacing w:after="100" w:before="220"/>
      </w:pPr>
      <w:r>
        <w:rPr>
          <w:rFonts w:ascii="Aptos" w:cs="Aptos" w:eastAsia="Aptos" w:hAnsi="Aptos"/>
          <w:b/>
          <w:bCs/>
          <w:color w:val="1B3A5C"/>
          <w:sz w:val="26"/>
          <w:szCs w:val="26"/>
        </w:rPr>
        <w:t>6. Signatures</w:t>
      </w:r>
    </w:p>
    <w:p>
      <w:pPr>
        <w:spacing w:after="14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{partyA}</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{partyB}</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7.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Retention: the signed original is kept by the {directorName} for the life of the agreement plus {period}, stored {location}. Align with the Document Handling Standard.</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single most important artifact for a small PSAP: it pins down what county or vendor IT actually owes you. Fill the Service Levels with realistic numbers and name one escalation contact on each side. Review annually.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Tie the service levels to the county's existing IT ticketing and on-call. The security coordinator tracks misses and raises them at governance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as a formal SLA with reporting. Where IT is in-house, the agreement still records the same obligations between the PSAP and its IT function so accountability is explicit.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36-8-16.7: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{reviewerRole2}</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Service Levels table ships with example targets in brackets. The Agency and provider set the real numbers; do not leave them as examples.</w:t>
            </w:r>
          </w:p>
          <w:p>
            <w:pPr>
              <w:spacing w:after="140"/>
            </w:pPr>
            <w:r>
              <w:rPr>
                <w:rFonts w:ascii="Aptos" w:cs="Aptos" w:eastAsia="Aptos" w:hAnsi="Aptos"/>
                <w:i/>
                <w:iCs/>
                <w:color w:val="595959"/>
                <w:sz w:val="24"/>
                <w:szCs w:val="24"/>
              </w:rPr>
              <w:t>The CJIS Security Policy line applies only where the provider accesses systems carrying CJIS-regulated data through IDACS. Confirm and, where it applies, append “ / CJIS” to the Classification.</w:t>
            </w:r>
          </w:p>
          <w:p>
            <w:pPr>
              <w:spacing w:after="140"/>
            </w:pPr>
            <w:r>
              <w:rPr>
                <w:rFonts w:ascii="Aptos" w:cs="Aptos" w:eastAsia="Aptos" w:hAnsi="Aptos"/>
                <w:i/>
                <w:iCs/>
                <w:color w:val="595959"/>
                <w:sz w:val="24"/>
                <w:szCs w:val="24"/>
              </w:rPr>
              <w:t>Cross-referenced artifacts use their Tracker names: RACI Matrix for Cybersecurity, Asset Criticality Ranking Matrix, Patch Management Schedule, Document Handling Standard.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