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Documents one formal risk assessment: what was assessed, how, the threats and failure modes weighed, and the scored impacts that drive prioritization.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{effectiveDate}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{reviewerRole}</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[name the public-safety systems in scope: CAD, ESInet/NGCS, radio, ALI/GIS, recording,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other facility hazards assessed]</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{startTime} to {endTime}</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{reviewerRole2}</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r>
              <w:rPr>
                <w:rFonts w:ascii="Aptos" w:cs="Aptos" w:eastAsia="Aptos" w:hAnsi="Aptos"/>
                <w:i/>
                <w:iCs/>
                <w:color w:val="595959"/>
                <w:sz w:val="24"/>
                <w:szCs w:val="24"/>
              </w:rPr>
              <w:t xml:space="preserve">   « Minimum for this artifact. Raise to Confidential if the report names individuals as subjects.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iCs/>
          <w:color w:val="595959"/>
          <w:sz w:val="24"/>
          <w:szCs w:val="24"/>
        </w:rPr>
        <w:t xml:space="preserve">« Three or four sentences a director can act on: what was assessed, the headline result, the most important finding. Write this last. »</w:t>
      </w:r>
    </w:p>
    <w:p>
      <w:pPr>
        <w:spacing w:after="80"/>
      </w:pPr>
      <w:r>
        <w:rPr>
          <w:rFonts w:ascii="Aptos" w:cs="Aptos" w:eastAsia="Aptos" w:hAnsi="Aptos"/>
          <w:b w:val="false"/>
          <w:bCs w:val="false"/>
          <w:i w:val="false"/>
          <w:iCs w:val="false"/>
          <w:color w:val="000000"/>
          <w:sz w:val="24"/>
          <w:szCs w:val="24"/>
        </w:rPr>
        <w:t xml:space="preserve">[Executive summary.]</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iCs/>
          <w:color w:val="595959"/>
          <w:sz w:val="24"/>
          <w:szCs w:val="24"/>
        </w:rPr>
        <w:t xml:space="preserve">« How the assessment was run and how impact was scored. Keep it brief; this report is the output of running the Risk Assessment Procedure. »</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scans, document review, tabletop walk-through, site inspection].</w:t>
      </w:r>
    </w:p>
    <w:p>
      <w:pPr>
        <w:spacing w:after="80"/>
      </w:pPr>
      <w:r>
        <w:rPr>
          <w:rFonts w:ascii="Aptos" w:cs="Aptos" w:eastAsia="Aptos" w:hAnsi="Aptos"/>
          <w:b w:val="false"/>
          <w:bCs w:val="false"/>
          <w:i w:val="false"/>
          <w:iCs w:val="false"/>
          <w:color w:val="000000"/>
          <w:sz w:val="24"/>
          <w:szCs w:val="24"/>
        </w:rPr>
        <w:t xml:space="preserve">Impact scoring: each risk is scored on three axes: effect on service (call handling and dispatch continuity), effect on data (confidentiality and integrity), and effect on life safety. [State the scale used, e.g., High / Medium / Low per axis, and how the axes combine into the Impact column below.]</w:t>
      </w:r>
    </w:p>
    <w:p>
      <w:pPr>
        <w:spacing w:after="80"/>
      </w:pPr>
      <w:r>
        <w:rPr>
          <w:rFonts w:ascii="Aptos" w:cs="Aptos" w:eastAsia="Aptos" w:hAnsi="Aptos"/>
          <w:b w:val="false"/>
          <w:bCs w:val="false"/>
          <w:i w:val="false"/>
          <w:iCs w:val="false"/>
          <w:color w:val="000000"/>
          <w:sz w:val="24"/>
          <w:szCs w:val="24"/>
        </w:rPr>
        <w:t xml:space="preserve">Participants: {rolesConsulted}.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p>
      <w:pPr>
        <w:spacing w:after="80"/>
      </w:pPr>
      <w:r>
        <w:rPr>
          <w:rFonts w:ascii="Aptos" w:cs="Aptos" w:eastAsia="Aptos" w:hAnsi="Aptos"/>
          <w:b w:val="false"/>
          <w:bCs w:val="false"/>
          <w:i/>
          <w:iCs/>
          <w:color w:val="595959"/>
          <w:sz w:val="24"/>
          <w:szCs w:val="24"/>
        </w:rPr>
        <w:t xml:space="preserve">« The threats and failure modes weighed in this assessment. Include facility and environmental hazards explicitly.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ransomware, credential compromise, CAD/ESInet outage, TDoS/DoS, misconfiguration]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insider error, untrained staff, vendor access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utility/power loss, EMP, physical intrusion]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vendor outage, compromised update, single-carrier dependency]</w:t>
            </w:r>
          </w:p>
        </w:tc>
      </w:tr>
    </w:tbl>
    <w:p>
      <w:pPr>
        <w:spacing w:after="100" w:before="220"/>
      </w:pPr>
      <w:r>
        <w:rPr>
          <w:rFonts w:ascii="Aptos" w:cs="Aptos" w:eastAsia="Aptos" w:hAnsi="Aptos"/>
          <w:b/>
          <w:bCs/>
          <w:color w:val="1B3A5C"/>
          <w:sz w:val="26"/>
          <w:szCs w:val="26"/>
        </w:rPr>
        <w:t xml:space="preserve">4. Findings</w:t>
      </w:r>
    </w:p>
    <w:p>
      <w:pPr>
        <w:spacing w:after="80"/>
      </w:pPr>
      <w:r>
        <w:rPr>
          <w:rFonts w:ascii="Aptos" w:cs="Aptos" w:eastAsia="Aptos" w:hAnsi="Aptos"/>
          <w:b w:val="false"/>
          <w:bCs w:val="false"/>
          <w:i/>
          <w:iCs/>
          <w:color w:val="595959"/>
          <w:sz w:val="24"/>
          <w:szCs w:val="24"/>
        </w:rPr>
        <w:t xml:space="preserve">« One row per finding. Score impact on each axis (Service / Data / Life safety), then give an overall rating. Keep the recommendation specific.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60"/>
        <w:gridCol w:w="900"/>
        <w:gridCol w:w="900"/>
        <w:gridCol w:w="1100"/>
        <w:gridCol w:w="1000"/>
        <w:gridCol w:w="1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{severityHml2}</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{severityHml3}</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F-02</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{finding2}</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{severityHml5}</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{severityHml6}</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{severityHml7}</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{severityHml8}</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{recommendation2}</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findings as needed.]</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iCs/>
          <w:color w:val="595959"/>
          <w:sz w:val="24"/>
          <w:szCs w:val="24"/>
        </w:rPr>
        <w:t xml:space="preserve">« This report does not track remediation. Record how findings were prioritized, then hand them off. »</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is not a remediation tracker;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order for handoff: [list finding IDs in priority order, or state the prioritization rule applied].</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 short interview-and-checklist assessment run annually with county or vendor IT, covering the named systems and the facility hazards. Manual scoring on the three axes; no scanning tool required.]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basic vulnerability scanning and a tabletop element. Shared IT participates; the security coordinator owns scoring and handoff to the POA&amp;M.]</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[Formal scheduled assessment with scanning, tabletop exercises, and documented methodology; results feed program-level risk management.]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{assessorRole}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{reviewedByRole}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{effectiveDate2}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{reviewerRole3}</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{revisionNote}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 xml:space="preserve">Two sections were added to the Report/Assessment shell per the approved batch review: Methodology (the Scoping Notes require method to be stated) and Threats and Failure Modes Considered (the analytic step the generic findings table does not capture). The single Severity column was replaced with three-axis impact scoring (Service / Data / Life safety) per Scoping Notes. The shell's Remediation Tracking section was replaced with Prioritization and Handoff so the Risk / Finding Register (POA&amp;M) stays the single tracker (CLAUDE.md §14). This report depends on the Risk Assessment Procedure (A-172) and feeds the Risk Register (A-009). NENA citations map to §4.2.1 (documented, retained security assessment), §4.3 with §4.3.1 / §4.3.2 (risk process, threat vectors, threat protection and mitigation), and §5.2 (assessment methods and cadence).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2026-06-04T17:40:21.610Z</dcterms:created>
  <dcterms:modified xsi:type="dcterms:W3CDTF">2026-06-04T17:40:21.610Z</dcterms:modified>
</cp:coreProperties>
</file>

<file path=docProps/custom.xml><?xml version="1.0" encoding="utf-8"?>
<Properties xmlns="http://schemas.openxmlformats.org/officeDocument/2006/custom-properties" xmlns:vt="http://schemas.openxmlformats.org/officeDocument/2006/docPropsVTypes"/>
</file>