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«Minimum for Policy artifacts. Appended “ / CJIS” because access to IDACS-reached systems is in scope. Your agency may raise but not lower this.»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defines who may access which systems, under what conditions, and through what approval. Replace every [BRACKETED] field,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It covers human and non-human accounts alike. The Service &amp; Cloud Accounts section is required: leave it in even if the Agency has only a few service accounts today.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[systems owned and operated solely by another agency under a separate agreement, if any].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{directorName}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{reviewCadence}.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«Required dedicated controls for non-human accounts. Keep this section even if few service accounts exist today.»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{reviewCadence2}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{itSupport}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{systemOwnerRole}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{allPersonnel}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{directorName}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{directorName}, must state the access affected and any compensating control, and expire after {period}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{directorName}.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as written. The director approves access directly and county or vendor IT carries it out. Keep a simple list of service accounts and review access once a year.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tracks entitlements and runs the quarterly privileged-account review with county 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Run access through a formal request-and-certification process. Security maintains the entitlement matrix and the service-account inventory and reports review status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if this policy touches CJIS-regulated data (in Indiana, typically via IDACS). Do not restate the CJIS Security Policy; reference it. Delete if not applicable.»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The Service &amp; Cloud Accounts section satisfies assessment question 2A-6 (a dedicated service/cloud-account policy with owner, purpose, lifespan, privilege scope, and review cadence). Keep it as a named section; do not fold it back into the general statements.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Cross-referenced artifacts use their Tracker names: Access Entitlement Matrix, Remote Access Policy, Privileged &amp; Service Account Inventory, and the account provisioning and deprovisioning workflow.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Agency-supplied values left in brackets: review cadences, exception period, and the named approver role.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