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r>
              <w:rPr>
                <w:rFonts w:ascii="Aptos" w:cs="Aptos" w:eastAsia="Aptos" w:hAnsi="Aptos"/>
                <w:i/>
                <w:iCs/>
                <w:color w:val="595959"/>
                <w:sz w:val="24"/>
                <w:szCs w:val="24"/>
              </w:rPr>
              <w:t>«Minimum for this plan. It carries response logic and is reached through IDACS-connected systems, so it ships Restricted / CJIS. Raise to Confidential if a contact list naming individuals is attached.»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plan governs how the Agency responds to a cybersecurity incident without stopping 9-1-1 call handling.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contact list as an appendix; if it names individuals, classify the document Confidential. This plan is the anchor for the forensics, tabletop, continuity, and data-incident artifacts listed under Related Artifacts.</w:t>
            </w:r>
          </w:p>
        </w:tc>
      </w:tr>
    </w:tbl>
    <w:p>
      <w:pPr>
        <w:pStyle w:val="Heading2"/>
        <w:spacing w:after="100" w:before="220"/>
      </w:pPr>
      <w:r>
        <w:rPr>
          <w:rFonts w:ascii="Aptos" w:cs="Aptos" w:eastAsia="Aptos" w:hAnsi="Aptos"/>
          <w:b/>
          <w:bCs/>
          <w:color w:val="1B3A5C"/>
          <w:sz w:val="26"/>
          <w:szCs w:val="26"/>
        </w:rPr>
        <w:t xml:space="preserve">1. Purpose &amp; Scope</w:t>
      </w:r>
    </w:p>
    <w:p>
      <w:pPr>
        <w:spacing w:after="140"/>
      </w:pPr>
      <w:r>
        <w:rPr>
          <w:rFonts w:ascii="Aptos" w:cs="Aptos" w:eastAsia="Aptos" w:hAnsi="Aptos"/>
          <w:i/>
          <w:iCs/>
          <w:color w:val="595959"/>
          <w:sz w:val="24"/>
          <w:szCs w:val="24"/>
        </w:rPr>
        <w:t xml:space="preserve">«What this plan does, when it applies, and its boundaries. One or two sentences each.»</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140"/>
      </w:pPr>
      <w:r>
        <w:rPr>
          <w:rFonts w:ascii="Aptos" w:cs="Aptos" w:eastAsia="Aptos" w:hAnsi="Aptos"/>
          <w:i/>
          <w:iCs/>
          <w:color w:val="595959"/>
          <w:sz w:val="24"/>
          <w:szCs w:val="24"/>
        </w:rPr>
        <w:t>«The rule that makes this a PSAP plan. It governs every containment decision below.»</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{directorName}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40"/>
      </w:pPr>
      <w:r>
        <w:rPr>
          <w:rFonts w:ascii="Aptos" w:cs="Aptos" w:eastAsia="Aptos" w:hAnsi="Aptos"/>
          <w:i/>
          <w:iCs/>
          <w:color w:val="595959"/>
          <w:sz w:val="24"/>
          <w:szCs w:val="24"/>
        </w:rPr>
        <w:t xml:space="preserve">«Optional. Define only terms used with a narrower meaning than common usage. Delete if not needed.»</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{directorName} formally activates this plan.</w:t>
      </w:r>
    </w:p>
    <w:p>
      <w:pPr>
        <w:pStyle w:val="Heading2"/>
        <w:spacing w:after="100" w:before="220"/>
      </w:pPr>
      <w:r>
        <w:rPr>
          <w:rFonts w:ascii="Aptos" w:cs="Aptos" w:eastAsia="Aptos" w:hAnsi="Aptos"/>
          <w:b/>
          <w:bCs/>
          <w:color w:val="1B3A5C"/>
          <w:sz w:val="26"/>
          <w:szCs w:val="26"/>
        </w:rPr>
        <w:t>4. Roles &amp; Responsibilities</w:t>
      </w:r>
    </w:p>
    <w:p>
      <w:pPr>
        <w:spacing w:after="140"/>
      </w:pPr>
      <w:r>
        <w:rPr>
          <w:rFonts w:ascii="Aptos" w:cs="Aptos" w:eastAsia="Aptos" w:hAnsi="Aptos"/>
          <w:i/>
          <w:iCs/>
          <w:color w:val="595959"/>
          <w:sz w:val="24"/>
          <w:szCs w:val="24"/>
        </w:rPr>
        <w:t xml:space="preserve">«Each role with a duty during this plan and what it owns. Roles, not names. If a contact list naming individuals is attached,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{directorName}.</w:t>
            </w:r>
          </w:p>
        </w:tc>
      </w:tr>
    </w:tbl>
    <w:p>
      <w:pPr>
        <w:pStyle w:val="Heading2"/>
        <w:spacing w:after="100" w:before="220"/>
      </w:pPr>
      <w:r>
        <w:rPr>
          <w:rFonts w:ascii="Aptos" w:cs="Aptos" w:eastAsia="Aptos" w:hAnsi="Aptos"/>
          <w:b/>
          <w:bCs/>
          <w:color w:val="1B3A5C"/>
          <w:sz w:val="26"/>
          <w:szCs w:val="26"/>
        </w:rPr>
        <w:t>5. Incident Command Structure</w:t>
      </w:r>
    </w:p>
    <w:p>
      <w:pPr>
        <w:spacing w:after="140"/>
      </w:pPr>
      <w:r>
        <w:rPr>
          <w:rFonts w:ascii="Aptos" w:cs="Aptos" w:eastAsia="Aptos" w:hAnsi="Aptos"/>
          <w:i/>
          <w:iCs/>
          <w:color w:val="595959"/>
          <w:sz w:val="24"/>
          <w:szCs w:val="24"/>
        </w:rPr>
        <w:t>«Who is in charge and how roles scale with severity. Keep roles, not names.»</w:t>
      </w:r>
    </w:p>
    <w:p>
      <w:pPr>
        <w:spacing w:after="60" w:before="0"/>
      </w:pPr>
      <w:r>
        <w:rPr>
          <w:rFonts w:ascii="Aptos" w:cs="Aptos" w:eastAsia="Aptos" w:hAnsi="Aptos"/>
          <w:b w:val="false"/>
          <w:bCs w:val="false"/>
          <w:i w:val="false"/>
          <w:iCs w:val="false"/>
          <w:sz w:val="24"/>
          <w:szCs w:val="24"/>
        </w:rPr>
        <w:t>The {directorName}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spacing w:after="140"/>
      </w:pPr>
      <w:r>
        <w:rPr>
          <w:rFonts w:ascii="Aptos" w:cs="Aptos" w:eastAsia="Aptos" w:hAnsi="Aptos"/>
          <w:i/>
          <w:iCs/>
          <w:color w:val="595959"/>
          <w:sz w:val="24"/>
          <w:szCs w:val="24"/>
        </w:rPr>
        <w:t xml:space="preserve">«The conditions that trigger this plan and who declares activation. Concrete enough that a supervisor at 2 a.m. can tell whether to act.»</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{directorName}.</w:t>
      </w:r>
    </w:p>
    <w:p>
      <w:pPr>
        <w:pStyle w:val="ListParagraph"/>
        <w:numPr>
          <w:ilvl w:val="0"/>
          <w:numId w:val="2"/>
        </w:numPr>
        <w:spacing w:after="60"/>
      </w:pPr>
      <w:r>
        <w:rPr>
          <w:rFonts w:ascii="Aptos" w:cs="Aptos" w:eastAsia="Aptos" w:hAnsi="Aptos"/>
          <w:b w:val="false"/>
          <w:bCs w:val="false"/>
          <w:i w:val="false"/>
          <w:iCs w:val="false"/>
          <w:sz w:val="24"/>
          <w:szCs w:val="24"/>
        </w:rPr>
        <w:t>Notified on activation: {itSupport2}, {dispatchSupervisor2},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spacing w:after="140"/>
      </w:pPr>
      <w:r>
        <w:rPr>
          <w:rFonts w:ascii="Aptos" w:cs="Aptos" w:eastAsia="Aptos" w:hAnsi="Aptos"/>
          <w:i/>
          <w:iCs/>
          <w:color w:val="595959"/>
          <w:sz w:val="24"/>
          <w:szCs w:val="24"/>
        </w:rPr>
        <w:t xml:space="preserve">«The core of the plan. Steps in execution order, one action per step, responsible role named. Plain English.»</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{directorName}.  ({allPersonnel2})</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({directorName})</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({dispatchSupervisor3})</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({itSupport3})</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({itSupport4})</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({itSupport5})</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({directorName})</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({directorName})</w:t>
      </w:r>
    </w:p>
    <w:p>
      <w:pPr>
        <w:pStyle w:val="Heading2"/>
        <w:spacing w:after="100" w:before="220"/>
      </w:pPr>
      <w:r>
        <w:rPr>
          <w:rFonts w:ascii="Aptos" w:cs="Aptos" w:eastAsia="Aptos" w:hAnsi="Aptos"/>
          <w:b/>
          <w:bCs/>
          <w:color w:val="1B3A5C"/>
          <w:sz w:val="26"/>
          <w:szCs w:val="26"/>
        </w:rPr>
        <w:t>8. Communication Procedures</w:t>
      </w:r>
    </w:p>
    <w:p>
      <w:pPr>
        <w:spacing w:after="140"/>
      </w:pPr>
      <w:r>
        <w:rPr>
          <w:rFonts w:ascii="Aptos" w:cs="Aptos" w:eastAsia="Aptos" w:hAnsi="Aptos"/>
          <w:i/>
          <w:iCs/>
          <w:color w:val="595959"/>
          <w:sz w:val="24"/>
          <w:szCs w:val="24"/>
        </w:rPr>
        <w:t xml:space="preserve">«Who is notified, by whom, through what channel, within what timeframe, internal and external. Include statutory reporting where it applies: for cyber incidents, Indiana HEA 1169 requires reporting to IOT within two business days. Keep the contact list as an appendix; if it names individuals,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{channel4}</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40"/>
      </w:pPr>
      <w:r>
        <w:rPr>
          <w:rFonts w:ascii="Aptos" w:cs="Aptos" w:eastAsia="Aptos" w:hAnsi="Aptos"/>
          <w:i/>
          <w:iCs/>
          <w:color w:val="595959"/>
          <w:sz w:val="24"/>
          <w:szCs w:val="24"/>
        </w:rPr>
        <w:t xml:space="preserve">«How and how often the plan is exercised (tabletop, functional, full), who runs it, and how results feed revision. Reference the matching exercise/after-action record; do not restate it.»</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{directorName};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140"/>
      </w:pPr>
      <w:r>
        <w:rPr>
          <w:rFonts w:ascii="Aptos" w:cs="Aptos" w:eastAsia="Aptos" w:hAnsi="Aptos"/>
          <w:i/>
          <w:iCs/>
          <w:color w:val="595959"/>
          <w:sz w:val="24"/>
          <w:szCs w:val="24"/>
        </w:rPr>
        <w:t>«The artifacts this plan anchors. Reference them by name; do not restate their content.»</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director runs the response with county or vendor IT. The one rule that cannot bend: keep 9-1-1 answering, moving to the backup path before any containment step that would cut it. A short annual tabletop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coordinator owns the plan and runs an annual tabletop plus a live drill with county IT. Severity tiers decide who is pulled in.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runs a formal incident-command process with defined severity tiers, integrated forensics, and scheduled exercises reported to leadership.</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p>
      <w:pPr>
        <w:spacing w:after="140"/>
      </w:pPr>
      <w:r>
        <w:rPr>
          <w:rFonts w:ascii="Aptos" w:cs="Aptos" w:eastAsia="Aptos" w:hAnsi="Aptos"/>
          <w:i/>
          <w:iCs/>
          <w:color w:val="595959"/>
          <w:sz w:val="24"/>
          <w:szCs w:val="24"/>
        </w:rPr>
        <w:t xml:space="preserve">«This table is the Plan type’s required revision-history element. Add one row per 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Operating Constraint section is the PSAP-specific element; keep it ahead of the procedures so it governs every containment decision.</w:t>
            </w:r>
          </w:p>
          <w:p>
            <w:pPr>
              <w:spacing w:after="140"/>
            </w:pPr>
            <w:r>
              <w:rPr>
                <w:rFonts w:ascii="Aptos" w:cs="Aptos" w:eastAsia="Aptos" w:hAnsi="Aptos"/>
                <w:i/>
                <w:iCs/>
                <w:color w:val="595959"/>
                <w:sz w:val="24"/>
                <w:szCs w:val="24"/>
              </w:rPr>
              <w:t>Cross-referenced artifacts use their Tracker names; the Related Artifacts section lists them.</w:t>
            </w:r>
          </w:p>
          <w:p>
            <w:pPr>
              <w:spacing w:after="140"/>
            </w:pPr>
            <w:r>
              <w:rPr>
                <w:rFonts w:ascii="Aptos" w:cs="Aptos" w:eastAsia="Aptos" w:hAnsi="Aptos"/>
                <w:i/>
                <w:iCs/>
                <w:color w:val="595959"/>
                <w:sz w:val="24"/>
                <w:szCs w:val="24"/>
              </w:rPr>
              <w:t>Keep the notification contact list in an appendix. If it names individuals, raise the classification to Confidential.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