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ptos" w:cs="Aptos" w:eastAsia="Aptos" w:hAnsi="Aptos"/>
          <w:b/>
          <w:bCs/>
          <w:color w:val="1B3A5C"/>
          <w:sz w:val="40"/>
          <w:szCs w:val="40"/>
        </w:rPr>
        <w:t>Change Management Policy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Authority: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Adopted by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{agencyName}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under the authority of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{signingOfficialTitle}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.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Version: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{version}   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Effective Date: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{effectiveDate}   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Next Review: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{effectiveDate2}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Owner: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{roleTitle}   </w:t>
            </w:r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595959"/>
                <w:sz w:val="24"/>
                <w:szCs w:val="24"/>
              </w:rPr>
              <w:t xml:space="preserve">«use a role, not a person’s name.»</w:t>
            </w:r>
          </w:p>
          <w:p>
            <w:pPr>
              <w:spacing w:after="2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Classification: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Internal</w:t>
            </w:r>
          </w:p>
          <w:p>
            <w:pPr>
              <w:spacing w:after="0"/>
            </w:pPr>
            <w:r>
              <w:rPr>
                <w:rFonts w:ascii="Aptos" w:cs="Aptos" w:eastAsia="Aptos" w:hAnsi="Aptos"/>
                <w:i/>
                <w:iCs/>
                <w:color w:val="595959"/>
                <w:sz w:val="24"/>
                <w:szCs w:val="24"/>
              </w:rPr>
              <w:t xml:space="preserve">«Minimum for Policy artifacts. Your agency may raise this but not lower it. Append “ / CJIS” if CJIS-regulated data is in scope. Raise to Restricted if this policy embeds specific operational configuration or response logic.»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B3A5C"/>
                <w:sz w:val="24"/>
                <w:szCs w:val="24"/>
              </w:rPr>
              <w:t xml:space="preserve">How to use this template </w:t>
            </w:r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595959"/>
                <w:sz w:val="24"/>
                <w:szCs w:val="24"/>
              </w:rPr>
              <w:t xml:space="preserve">(delete this box before publishing)</w:t>
            </w:r>
          </w:p>
          <w:p>
            <w:pPr>
              <w:spacing w:after="140"/>
            </w:pPr>
            <w:r>
              <w:rPr>
                <w:rFonts w:ascii="Aptos" w:cs="Aptos" w:eastAsia="Aptos" w:hAnsi="Aptos"/>
                <w:i/>
                <w:iCs/>
                <w:color w:val="595959"/>
                <w:sz w:val="24"/>
                <w:szCs w:val="24"/>
              </w:rPr>
              <w:t>This template is ready to adopt. Replace every [BRACKETED] field with your agency's information, follow the « » guidance notes, and delete every « » note and this box before you publish.</w:t>
            </w:r>
          </w:p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Placeholder key: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[BRACKETED]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= fill in   ·  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[REQUIRED]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(bold) = required field   ·   </w:t>
            </w:r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595959"/>
                <w:sz w:val="24"/>
                <w:szCs w:val="24"/>
              </w:rPr>
              <w:t xml:space="preserve">« »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= guidance to delete.</w:t>
            </w:r>
          </w:p>
          <w:p>
            <w:pPr>
              <w:spacing w:after="140"/>
            </w:pPr>
            <w:r>
              <w:rPr>
                <w:rFonts w:ascii="Aptos" w:cs="Aptos" w:eastAsia="Aptos" w:hAnsi="Aptos"/>
                <w:i/>
                <w:iCs/>
                <w:color w:val="595959"/>
                <w:sz w:val="24"/>
                <w:szCs w:val="24"/>
              </w:rPr>
              <w:t xml:space="preserve">Keep the body director-readable. Push technical detail and contact lists to an appendix. Source Authority, approval signatures, and revision history stay at the foot of the document.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1. Purpose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«Two or three sentences: what this policy governs and why the Agency maintains it. Name the outcome, not the activity.»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This policy governs how {agencyName} makes changes to its systems: what counts as a change, how changes are approved and documented, and how deviations are reviewed. It applies across every system and device, and is the parent for the Agency's change, patch, and configuration records.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2. Scope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«Who and what the policy covers, and what it excludes. State exclusions explicitly.»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Applies to: [all personnel who request, approve, or implement changes, including county or vendor IT].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Covers: every production system and device the Agency operates, including telephony, CAD, network, and DNS.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Excludes: [exclusions, if any; if none, write "None."]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3. Definitions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«Optional. Include only terms this policy uses with a narrower meaning than common usage. Do not define common operational terms (CAD, RMS, ESInet, dispatcher). Delete this section if not needed.»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Change: any addition, modification, or removal that could affect a production system, its configuration, or its security posture.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Standard change: a pre-approved, low-risk change that follows an established procedure.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Major (significant) change: a change with meaningful security, operational, or availability impact, requiring a risk-scaled assessment and approval before implementation.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Emergency change: a change made without delay to restore service or remove an immediate threat, approved through the Emergency Change Procedures and documented after the fact.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Supervised maintenance: maintenance of a sensitive or critical system performed by authorized personnel under defined safeguards (scheduled window, pre-maintenance backup, second-person sign-off).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4. Policy Statement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«The enforceable core, as numbered statements. Use “The Agency shall…” / “Personnel are responsible for…”. One requirement per statement.»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The Agency shall classify every change to a production system as a standard, major (significant), or emergency change, and route each through the approval path defined for its class.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The Agency shall not implement a change to a production system without the documented approval required for its class, and shall record every change request, approval, and outcome in the Change Request &amp; Approval Log.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Before approving a major change, the Agency shall assess its security impact, operational risk, and side effects against the approved baselines, with sign-off scaled to the risk.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The Agency shall review deviations from standard configurations and approved baselines and record the disposition of each.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>5. DNS Administration and Change Governance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>«Who may administer DNS, and how DNS changes are approved and logged (assessment 4.C).»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The Agency shall restrict who may manage DNS roles and records, route every DNS change through the approval workflow in this policy, and log the review and sign-off for each record or zone change.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>6. Supervised Maintenance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>«Maintenance of sensitive or critical systems under defined safeguards (assessment 5C-4).»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The Agency shall perform maintenance on sensitive or critical systems only with authorized personnel, on a scheduled window, with a pre-maintenance backup and a second-person sign-off, protecting data confidentiality and service availability throughout.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>7. Security Assessment Gate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>«Risk-scaled security assessment, including a cryptographic review, before a major change goes live (assessment 12A-3).»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Before a major deployment or significant change goes live, the Agency shall complete a security assessment scaled to the risk, including a review of cryptographic controls, and obtain sign-off on the assessment before go-live.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>8. Roles &amp; Responsibilities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«Each role that carries a duty under this policy and what it owns. Roles, not names.»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Role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Responsibility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{directorName}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Approves major and emergency changes; owns this policy and the deviation process.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{countyItVendorInHouse}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Submits change requests, implements approved changes, performs supervised maintenance with a second-person sign-off, and keeps the change records.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{changeApproverRole}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Reviews and approves changes at the level set for each risk tier and reviews deviations.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{securityReviewerRole}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Completes the pre-go-live security assessment, including the cryptographic review, for major changes.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{allPersonnelScope}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Follow this policy and make no unauthorized changes to Agency systems.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>9. Enforcement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«How compliance is monitored and what happens on violation. Reference the Agency’s corrective process; do not restate it.»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Compliance is monitored through the change records and periodic review. A change made without the required approval is treated as unauthorized, corrected, and reviewed under the Agency's corrective process.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>10. Exceptions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«Who may grant an exception, how it is requested and recorded, and how long it lasts before review.»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An exception to this policy requires written approval from the {directorName}, recorded with a reason and an expiry. An emergency change is not an exception: it is a defined change class handled through the Emergency Change Procedures and documented after the fact.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>11. Review Schedule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«Review cadence and trigger events (annual at minimum; also on significant change). Name the owning role.»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This policy is reviewed at least [Weekly / Monthly / Quarterly / Annually] and after [significant change to the Agency's systems or change process], by the {ownerRole}.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Profile Scaling Notes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One short paragraph per profile: what minimum-viable looks like for that reader and where to scale up. Keep all three if this ships as a template; delete the profiles that do not apply once adopted.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PSAP Profile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Minimum-viable implementation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Small (1–5 dispatchers, no in-house IT)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One person, usually the director, approves changes and keeps a simple change log. Standard changes follow a short checklist; major or emergency changes get a second set of eyes from county or vendor IT and a pre-change backup.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Medium (6–25, shared county IT)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A change approver or small advisory group reviews changes on a set cadence, with the security coordinator running the assessment gate for major changes. Records live in a shared change log.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Large (25+, dedicated IT/security)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A change advisory board governs changes across both centers, with formal risk scoring, a security assessment gate for major deployments, and change records in an ITSM system.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B3A5C"/>
                <w:sz w:val="24"/>
                <w:szCs w:val="24"/>
              </w:rPr>
              <w:t xml:space="preserve">Source Authority</w:t>
            </w:r>
          </w:p>
          <w:p>
            <w:pPr>
              <w:spacing w:after="140"/>
            </w:pPr>
            <w:r>
              <w:rPr>
                <w:rFonts w:ascii="Aptos" w:cs="Aptos" w:eastAsia="Aptos" w:hAnsi="Aptos"/>
                <w:i/>
                <w:iCs/>
                <w:color w:val="595959"/>
                <w:sz w:val="24"/>
                <w:szCs w:val="24"/>
              </w:rPr>
              <w:t xml:space="preserve">List only the authorities that map to content in this artifact. Group by authority; order sections and control IDs numerically. No padding. Replace the lines below with the citations that actually apply.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NENA-STA-040.2-2024: §4.4, §5.2, §6.4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NIST SP 800-53 Rev. 5: CA-2, CM-3, CM-4, CM-5, CM-9, MA-2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Approval Signatures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360"/>
        <w:gridCol w:w="2600"/>
        <w:gridCol w:w="140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Role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Name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Signature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{approvingOfficialTitle}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{ownerRole2}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Revision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600"/>
        <w:gridCol w:w="2200"/>
        <w:gridCol w:w="4260"/>
      </w:tblGrid>
      <w:tr>
        <w:trPr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Version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Author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Summary of Change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{version2}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{effectiveDate3}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{reviewerRole}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{initialRevisionNote}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B3A5C"/>
                <w:sz w:val="24"/>
                <w:szCs w:val="24"/>
              </w:rPr>
              <w:t xml:space="preserve">Drafter’s note </w:t>
            </w:r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595959"/>
                <w:sz w:val="24"/>
                <w:szCs w:val="24"/>
              </w:rPr>
              <w:t xml:space="preserve">(internal, delete before publishing)</w:t>
            </w:r>
          </w:p>
          <w:p>
            <w:pPr>
              <w:spacing w:after="140"/>
            </w:pPr>
            <w:r>
              <w:rPr>
                <w:rFonts w:ascii="Aptos" w:cs="Aptos" w:eastAsia="Aptos" w:hAnsi="Aptos"/>
                <w:i/>
                <w:iCs/>
                <w:color w:val="595959"/>
                <w:sz w:val="24"/>
                <w:szCs w:val="24"/>
              </w:rPr>
              <w:t>Confirm before finalizing: (1) the {ownerRole3} and the change-approver model (single approver for a small agency, a board for a large one); (2) the risk tiers and sign-off levels for standard, major, and emergency changes. No CJIS overlay: CJIS-regulated systems are maintained by the State via IDACS, outside PSAP scope, so this policy does not govern their change management. Cross-referenced artifacts use Tracker names: Change Request &amp; Approval Log, Emergency Change Procedures, System Configuration Baselines, DNS Security Configuration Record.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ptos" w:cs="Aptos" w:eastAsia="Aptos" w:hAnsi="Aptos"/>
        <w:color w:val="595959"/>
        <w:sz w:val="18"/>
        <w:szCs w:val="18"/>
      </w:rPr>
      <w:t xml:space="preserve">Page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ptos" w:cs="Aptos" w:eastAsia="Aptos" w:hAnsi="Aptos"/>
        <w:color w:val="595959"/>
        <w:sz w:val="18"/>
        <w:szCs w:val="18"/>
      </w:rPr>
      <w:t xml:space="preserve"> of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6" w:space="2"/>
      </w:pBdr>
      <w:jc w:val="right"/>
    </w:pPr>
    <w:r>
      <w:rPr>
        <w:rFonts w:ascii="Aptos" w:cs="Aptos" w:eastAsia="Aptos" w:hAnsi="Aptos"/>
        <w:color w:val="595959"/>
        <w:sz w:val="16"/>
        <w:szCs w:val="16"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ptos" w:cs="Aptos" w:eastAsia="Aptos" w:hAnsi="Aptos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ptos" w:cs="Aptos" w:eastAsia="Aptos" w:hAnsi="Aptos"/>
      <w:b/>
      <w:bCs/>
      <w:color w:val="1B3A5C"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2026-06-01T15:29:11.401Z</dcterms:created>
  <dcterms:modified xsi:type="dcterms:W3CDTF">2026-06-01T15:29:11.401Z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