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This Logging Policy stays Internal as a statement of intent and roles. If it is expanded to carry live logging configuration or detection logic, raise it to Restricted; that as-built detail belongs in the system configuration records, not in this policy.»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{agencyName} generates, protects, reviews, and analyzes logs across its emergency communications systems. It sets what must be logged, who is responsible, and how long logs are kept, so the Agency can detect and investigate security events.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contractors responsible for operating, securing, or reviewing Agency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scope of the Master Asset Inventory, including call handling, CAD, the ESInet connection, logging and recording systems, network infrastructure, and the endpoints and accounts that support them.</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Security-relevant event: any event that bears on the security of a system or its data, such as a login, an access to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spacing w:after="140"/>
      </w:pPr>
      <w:r>
        <w:rPr>
          <w:rFonts w:ascii="Aptos" w:cs="Aptos" w:eastAsia="Aptos" w:hAnsi="Aptos"/>
          <w:i/>
          <w:iCs/>
          <w:color w:val="595959"/>
          <w:sz w:val="24"/>
          <w:szCs w:val="24"/>
        </w:rPr>
        <w:t xml:space="preserve">«The enforceable core, as numbered statements, plus the minimum event content and the logging depth expected at each system tier. Scope and tiers come from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enable logging on every system in scope, with logging depth scaled to the system’s criticality as ranked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Critical systems, including call handling, CAD, the ESInet connection, and the systems that authenticate or administer them, shall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set a minimum retention period for each log source and retain logs at least that long. Retention periods are recorded in the Log Retention Schedule.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protect logs against alteration and deletion and shall restrict access to them.</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review logs on a defined cadence and analyze them for signs of compromise.</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requirements.]</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of the action, such as host or network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expectation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authentication/admin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retained per the Log Retention Schedule; reviewed on the defined cadence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(supporting servers, network infrastructure, endpoints with sensitive access)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retained per schedule; reviewed periodically.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where available; reviewed on event or exception.</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40"/>
      </w:pPr>
      <w:r>
        <w:rPr>
          <w:rFonts w:ascii="Aptos" w:cs="Aptos" w:eastAsia="Aptos" w:hAnsi="Aptos"/>
          <w:i/>
          <w:iCs/>
          <w:color w:val="595959"/>
          <w:sz w:val="24"/>
          <w:szCs w:val="24"/>
        </w:rPr>
        <w:t xml:space="preserve">«How logs are kept trustworthy. Name the intent; the verification method lives in the Log Integrity Verification Procedures.»</w:t>
      </w:r>
    </w:p>
    <w:p>
      <w:pPr>
        <w:spacing w:after="120" w:before="0"/>
      </w:pPr>
      <w:r>
        <w:rPr>
          <w:rFonts w:ascii="Aptos" w:cs="Aptos" w:eastAsia="Aptos" w:hAnsi="Aptos"/>
          <w:b w:val="false"/>
          <w:bCs w:val="false"/>
          <w:i w:val="false"/>
          <w:iCs w:val="false"/>
          <w:sz w:val="24"/>
          <w:szCs w:val="24"/>
        </w:rPr>
        <w:t xml:space="preserve">Logs are stored so they cannot be altered or deleted by ordinary users. The Agency restricts log access to assigned roles and, where the system supports it, writes logs to protected or write-once storage.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every in-scope system has assigned owners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on in-scope systems, and protects them by securing storage and restricting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logs on the defined cadence and analyzes them for signs of compromise; escalates findings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 data owners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their systems are in scope and logging at the required depth.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checked through periodic review of logging configuration and review records. A gap is recorded as a finding and tracked to closure. Repeated failure to log or review is handled under the Agency’s corrective process.</w:t>
      </w:r>
    </w:p>
    <w:p>
      <w:pPr>
        <w:pStyle w:val="Heading2"/>
        <w:spacing w:after="100" w:before="220"/>
      </w:pPr>
      <w:r>
        <w:rPr>
          <w:rFonts w:ascii="Aptos" w:cs="Aptos" w:eastAsia="Aptos" w:hAnsi="Aptos"/>
          <w:b/>
          <w:bCs/>
          <w:color w:val="1B3A5C"/>
          <w:sz w:val="26"/>
          <w:szCs w:val="26"/>
        </w:rPr>
        <w:t xml:space="preserve">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{directorName} may grant a written exception where a system cannot meet a requirement, stating the compensating measure, who approved it, and an expiry date, reviewed at least annually.</w:t>
      </w:r>
    </w:p>
    <w:p>
      <w:pPr>
        <w:pStyle w:val="Heading2"/>
        <w:spacing w:after="100" w:before="220"/>
      </w:pPr>
      <w:r>
        <w:rPr>
          <w:rFonts w:ascii="Aptos" w:cs="Aptos" w:eastAsia="Aptos" w:hAnsi="Aptos"/>
          <w:b/>
          <w:bCs/>
          <w:color w:val="1B3A5C"/>
          <w:sz w:val="26"/>
          <w:szCs w:val="26"/>
        </w:rPr>
        <w:t xml:space="preserve">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carrying CJIS-regulated data, reached in Indiana through IDACS, apply CJIS Security Policy v5.9 §5.4 (Auditing and Accountability) in addition to the requirements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in-scope systems and criticality tiers from the Master Asset Inventory and Asset Criticality Ranking Matrix (Section 4).</w:t>
            </w:r>
          </w:p>
          <w:p>
            <w:r>
              <w:rPr>
                <w:rFonts w:ascii="Aptos" w:cs="Aptos" w:eastAsia="Aptos" w:hAnsi="Aptos"/>
                <w:sz w:val="24"/>
                <w:szCs w:val="24"/>
              </w:rPr>
              <w:t xml:space="preserve">Confirm minimum retention periods per log source with the Log Retention Schedule.</w:t>
            </w:r>
          </w:p>
          <w:p>
            <w:r>
              <w:rPr>
                <w:rFonts w:ascii="Aptos" w:cs="Aptos" w:eastAsia="Aptos" w:hAnsi="Aptos"/>
                <w:sz w:val="24"/>
                <w:szCs w:val="24"/>
              </w:rPr>
              <w:t xml:space="preserve">Confirm which role performs log review and analysis (Section 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