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{agencyName}, {roleTitle}</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{vendorName}, {authorizedRepresentative}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«Raised to Restricted / CJIS because this agreement governs vendor access to systems carrying CJIS-regulated data (in Indiana, via IDACS). A signed copy that names individuals is handled as Confidential.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agreement binds a vendor or contractor with access to Agency systems or data to a defined access scope and to security obligations. Complete one per vendor. Replace every [BRACKETED] field, follow the « » guidance, and delete every « » note and this box before you sign.</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terms specific and enforceable. Tie the vendor to its row in the Vendor &amp; Contractor Inventory, and store the signed original per the Document Handling Standard.</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«What this agreement establishes and why the parties enter it. One or two sentences.»</w:t>
      </w:r>
    </w:p>
    <w:p>
      <w:pPr>
        <w:spacing w:after="120"/>
      </w:pPr>
      <w:r>
        <w:rPr>
          <w:rFonts w:ascii="Aptos" w:cs="Aptos" w:eastAsia="Aptos" w:hAnsi="Aptos"/>
          <w:sz w:val="24"/>
          <w:szCs w:val="24"/>
        </w:rPr>
        <w:t xml:space="preserve">This agreement sets the terms under which {vendorName2} is granted access to Agency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120"/>
      </w:pPr>
      <w:r>
        <w:rPr>
          <w:rFonts w:ascii="Aptos" w:cs="Aptos" w:eastAsia="Aptos" w:hAnsi="Aptos"/>
          <w:i/>
          <w:iCs/>
          <w:color w:val="595959"/>
          <w:sz w:val="24"/>
          <w:szCs w:val="24"/>
        </w:rPr>
        <w:t xml:space="preserve">«The binding obligations, as numbered terms. State which party owns each. Be specific about timing and thresholds.»</w:t>
      </w:r>
    </w:p>
    <w:p>
      <w:pPr>
        <w:spacing w:after="80"/>
      </w:pPr>
      <w:r>
        <w:rPr>
          <w:rFonts w:ascii="Aptos" w:cs="Aptos" w:eastAsia="Aptos" w:hAnsi="Aptos"/>
          <w:sz w:val="24"/>
          <w:szCs w:val="24"/>
        </w:rPr>
        <w:t xml:space="preserve">1. Access scope: {vendorName3} is granted access only to the systems, data, and functions listed in [Appendix A / the Vendor &amp; Contractor Inventory entry], for the purpose of [stated service], and to no others.</w:t>
      </w:r>
    </w:p>
    <w:p>
      <w:pPr>
        <w:spacing w:after="80"/>
      </w:pPr>
      <w:r>
        <w:rPr>
          <w:rFonts w:ascii="Aptos" w:cs="Aptos" w:eastAsia="Aptos" w:hAnsi="Aptos"/>
          <w:sz w:val="24"/>
          <w:szCs w:val="24"/>
        </w:rPr>
        <w:t xml:space="preserve">2. Least privilege: {vendorName4}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{vendorName5}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{vendorName6}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{vendorName7} maintains [stated minimum security practices]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{vendorName8} notifies the Agency of any suspected security incident or data exposure affecting Agency systems or data without undue delay and no later than {timeframe}.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{vendorName9}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{vendorName10}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{vendorName11}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{term} and may be ended by either party on {notice}; the Agency may suspend access immediately for cause.</w:t>
      </w:r>
    </w:p>
    <w:p>
      <w:pPr>
        <w:spacing w:before="220" w:after="100"/>
      </w:pPr>
      <w:r>
        <w:rPr>
          <w:rFonts w:ascii="Aptos" w:cs="Aptos" w:eastAsia="Aptos" w:hAnsi="Aptos"/>
          <w:b/>
          <w:bCs/>
          <w:color w:val="1B3A5C"/>
          <w:sz w:val="26"/>
          <w:szCs w:val="26"/>
        </w:rPr>
        <w:t xml:space="preserve">3. Signatures</w:t>
      </w:r>
    </w:p>
    <w:p>
      <w:pPr>
        <w:spacing w:after="12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{partyA}</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{partyB}</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pPr>
      <w:r>
        <w:rPr>
          <w:rFonts w:ascii="Aptos" w:cs="Aptos" w:eastAsia="Aptos" w:hAnsi="Aptos"/>
          <w:sz w:val="24"/>
          <w:szCs w:val="24"/>
        </w:rPr>
        <w:t xml:space="preserve">The signed original is kept by the {ownerRole} for the life of the vendor relationship plus {period},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signed agreement per vendor, kept in the director’s vendor file. For a single CAD or ESInet vendor, the standard terms here are enough; the director confirms screening and revokes access when a contract ends.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and the security coordinator track agreements against the Vendor &amp; Contractor Inventory and review them at renewal. Standard security terms are attached to each contract.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Procurement and the security team hold agreements centrally, tie them to vendor risk assessments, and verify CJIS and screening obligations before access is provisioned.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has no dedicated third-party section; cited here against §5.2 (assessments) and §6.2.1 (vendor account management); confirm the precise sub-clause. Restricted / CJIS floor applies because the agreement governs vendor access to CJIS-regulated systems via IDACS; a signed copy naming individuals is handled as Confidential. The CJIS obligation is carried as Term 8 because the Agreement / Form shell has no CJIS Handling Addendum. Each agreement ties to a row in the Vendor &amp; Contractor Inventory and is retained per the Document Handling Standard. [Confirm the breach-notification timeframe and the Agency’s minimum vendor security practices.]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