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Social Media &amp; External Communications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Raise to Restricted if this policy embeds specific operational configuration or response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 xml:space="preserve">This policy sets the rules for how personnel use social media and other external communications in ways that could touch the Agency, its operations, or non-public information. It extends the Acceptable Use Policy to public-facing and personal communications, so personal use does not expose the Agency’s information, people, or reputation.</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employees, contractors, and volunteers, on or off duty, when their communications identify or affect the Agency.</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personal and official use of social media, public posts and comments, messaging apps, and personal devices used to communicate about or connect to Agency systems or information.</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official public-information releases issued through the Agency’s designated spokesperson or PIO process, which follow their own approval path.</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60"/>
      </w:pPr>
      <w:r>
        <w:rPr>
          <w:rFonts w:ascii="Aptos" w:cs="Aptos" w:eastAsia="Aptos" w:hAnsi="Aptos"/>
          <w:b/>
          <w:bCs/>
          <w:sz w:val="24"/>
          <w:szCs w:val="24"/>
        </w:rPr>
        <w:t xml:space="preserve">Non-public information: </w:t>
      </w:r>
      <w:r>
        <w:rPr>
          <w:rFonts w:ascii="Aptos" w:cs="Aptos" w:eastAsia="Aptos" w:hAnsi="Aptos"/>
          <w:b w:val="false"/>
          <w:bCs w:val="false"/>
          <w:i w:val="false"/>
          <w:iCs w:val="false"/>
          <w:sz w:val="24"/>
          <w:szCs w:val="24"/>
        </w:rPr>
        <w:t xml:space="preserve">Agency information not approved for public release, including operational detail, CAD or incident data, personnel information, and anything classified Internal, Restricted, or Confidential.</w:t>
      </w:r>
    </w:p>
    <w:p>
      <w:pPr>
        <w:spacing w:after="60"/>
      </w:pPr>
      <w:r>
        <w:rPr>
          <w:rFonts w:ascii="Aptos" w:cs="Aptos" w:eastAsia="Aptos" w:hAnsi="Aptos"/>
          <w:b/>
          <w:bCs/>
          <w:sz w:val="24"/>
          <w:szCs w:val="24"/>
        </w:rPr>
        <w:t xml:space="preserve">Official account: </w:t>
      </w:r>
      <w:r>
        <w:rPr>
          <w:rFonts w:ascii="Aptos" w:cs="Aptos" w:eastAsia="Aptos" w:hAnsi="Aptos"/>
          <w:b w:val="false"/>
          <w:bCs w:val="false"/>
          <w:i w:val="false"/>
          <w:iCs w:val="false"/>
          <w:sz w:val="24"/>
          <w:szCs w:val="24"/>
        </w:rPr>
        <w:t xml:space="preserve">a social-media or communications account the Agency owns and operates in its own name.</w:t>
      </w:r>
    </w:p>
    <w:p>
      <w:pPr>
        <w:spacing w:after="60"/>
      </w:pPr>
      <w:r>
        <w:rPr>
          <w:rFonts w:ascii="Aptos" w:cs="Aptos" w:eastAsia="Aptos" w:hAnsi="Aptos"/>
          <w:b/>
          <w:bCs/>
          <w:sz w:val="24"/>
          <w:szCs w:val="24"/>
        </w:rPr>
        <w:t xml:space="preserve">Personal account: </w:t>
      </w:r>
      <w:r>
        <w:rPr>
          <w:rFonts w:ascii="Aptos" w:cs="Aptos" w:eastAsia="Aptos" w:hAnsi="Aptos"/>
          <w:b w:val="false"/>
          <w:bCs w:val="false"/>
          <w:i w:val="false"/>
          <w:iCs w:val="false"/>
          <w:sz w:val="24"/>
          <w:szCs w:val="24"/>
        </w:rPr>
        <w:t xml:space="preserve">any account an individual holds in a personal capacity, even if it mentions or is associated with the Agency.</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post non-public Agency information to any social media or external channel, in any form, including photos, screenshots, locations, or details of calls and operations.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keep personal and Agency roles separate. A personal account does not speak for the Agency, and personnel make clear that personal views are their own.</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represent the Agency or issue statements on its behalf unless authorized through the Agency’s public-information process.</w:t>
      </w:r>
    </w:p>
    <w:p>
      <w:pPr>
        <w:pStyle w:val="ListParagraph"/>
        <w:numPr>
          <w:ilvl w:val="0"/>
          <w:numId w:val="3"/>
        </w:numPr>
        <w:spacing w:after="60"/>
      </w:pPr>
      <w:r>
        <w:rPr>
          <w:rFonts w:ascii="Aptos" w:cs="Aptos" w:eastAsia="Aptos" w:hAnsi="Aptos"/>
          <w:b w:val="false"/>
          <w:bCs w:val="false"/>
          <w:i w:val="false"/>
          <w:iCs w:val="false"/>
          <w:sz w:val="24"/>
          <w:szCs w:val="24"/>
        </w:rPr>
        <w:t xml:space="preserve">Personal devices used to access or communicate about Agency systems or information follow the Acceptable Use Policy, the Mobile Device Management (MDM) Policy, and the Remote Access Policy.</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do not connect personal devices to restricted Agency networks except as those policies allow.</w:t>
      </w:r>
    </w:p>
    <w:p>
      <w:pPr>
        <w:pStyle w:val="ListParagraph"/>
        <w:numPr>
          <w:ilvl w:val="0"/>
          <w:numId w:val="3"/>
        </w:numPr>
        <w:spacing w:after="60"/>
      </w:pPr>
      <w:r>
        <w:rPr>
          <w:rFonts w:ascii="Aptos" w:cs="Aptos" w:eastAsia="Aptos" w:hAnsi="Aptos"/>
          <w:b w:val="false"/>
          <w:bCs w:val="false"/>
          <w:i w:val="false"/>
          <w:iCs w:val="false"/>
          <w:sz w:val="24"/>
          <w:szCs w:val="24"/>
        </w:rPr>
        <w:t xml:space="preserve">Personnel report any accidental disclosure of non-public information, and any online impersonation of or threat against the Agency or its staff, through the incident-reporting process.</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this policy, approves official accounts and spokespersons, and decides exceptions.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Advises on technical controls for personal-device and network access, and supports investigation of online disclosures or impersonation.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Reinforces these rules on shift and is a first point of contact when a posting or disclosure concern arises.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Follow these rules on and off duty, keep personal and Agency roles separate, and report disclosures or impersonation promptly.</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 xml:space="preserve">The {directorName} monitors compliance. Violations are handled under the Acceptable Use Policy’s corrective process. A post that discloses non-public information or endangers staff or operations is treated as a security incident.</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 xml:space="preserve">An exception, such as an approved outreach campaign or a designated account, is requested in writing, granted by the {directorName}, recorded with a scope and end date, and reviewed at least annually.</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 xml:space="preserve">This policy is reviewed at least annually and after any significant change, by the {ownerRole}.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sets the rules in plain terms, covers them at hire and in periodic reminders, and approves any official account personally. With no PIO, the director is the Agency’s single voice.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designated coordinator manages official accounts and approves outreach. Reminders go out with other security messaging, and supervisors reinforce the rules on shift.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PIO or communications function owns official channels under this policy, with a documented approval path for posts, monitoring for impersonation, and role-based reminders.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 xml:space="preserve">NENA-STA-040.2-2024: §4.1.2, §4.2.5, §5.1.1</w:t>
            </w:r>
          </w:p>
          <w:p>
            <w:pPr>
              <w:spacing w:after="40" w:before="0"/>
            </w:pPr>
            <w:r>
              <w:rPr>
                <w:rFonts w:ascii="Aptos" w:cs="Aptos" w:eastAsia="Aptos" w:hAnsi="Aptos"/>
                <w:b w:val="false"/>
                <w:bCs w:val="false"/>
                <w:i w:val="false"/>
                <w:iCs w:val="false"/>
                <w:sz w:val="24"/>
                <w:szCs w:val="24"/>
              </w:rPr>
              <w:t xml:space="preserve">NIST SP 800-53 Rev. 5: AC-22, AT-2, PL-4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Confirm before finalizing: (1) the {signingOfficialTitle} and {ownerRole3}; (2) whether official-account approval is routed through a PIO or the director.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